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7a2fd9a1f44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6087</w:t>
      </w:r>
    </w:p>
    <w:p>
      <w:pPr>
        <w:jc w:val="center"/>
        <w:spacing w:before="480" w:after="0" w:line="240"/>
      </w:pPr>
      <w:r>
        <w:t xml:space="preserve">Chapter </w:t>
      </w:r>
      <w:r>
        <w:rPr/>
        <w:t xml:space="preserve">188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ADVANCED COLLEGE TUITION PAYMENT AND COLLEGE SAVINGS PROGRAMS</w:t>
      </w:r>
    </w:p>
    <w:p>
      <w:pPr>
        <w:spacing w:before="720" w:after="240" w:line="240" w:lineRule="exact"/>
        <w:ind w:left="0" w:right="0" w:firstLine="576"/>
        <w:jc w:val="center"/>
      </w:pPr>
      <w:r>
        <w:t xml:space="preserve">EFFECTIVE DATE: </w:t>
      </w:r>
      <w:r>
        <w:rPr/>
        <w:t xml:space="preserve">April 15,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88</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11:36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Palumbo, Carlyle, Braun, Kuderer, Dhingra, Pedersen, Takko, McCoy, Liias, and Conway</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higher education tuition payment and college savings programs; amending RCW 28B.95.020, 28B.95.030, and 28B.95.045;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pPr>
        <w:spacing w:before="0" w:after="0" w:line="408" w:lineRule="exact"/>
        <w:ind w:left="0" w:right="0" w:firstLine="576"/>
        <w:jc w:val="left"/>
      </w:pPr>
      <w:r>
        <w:rPr>
          <w:u w:val="single"/>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u w:val="single"/>
        </w:rPr>
        <w:t xml:space="preserve">(b)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u w:val="single"/>
        </w:rPr>
        <w:t xml:space="preserve">(9)(a) After the governing body completes the requirements of subsection (8) of this section, the governing body shall adjust, by March 1, 2019, all remaining unredeemed units purchased before July 1, 2015, as follows:</w:t>
      </w:r>
    </w:p>
    <w:p>
      <w:pPr>
        <w:spacing w:before="0" w:after="0" w:line="408" w:lineRule="exact"/>
        <w:ind w:left="0" w:right="0" w:firstLine="576"/>
        <w:jc w:val="left"/>
      </w:pPr>
      <w:r>
        <w:rPr>
          <w:u w:val="single"/>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u w:val="single"/>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u w:val="single"/>
        </w:rPr>
        <w:t xml:space="preserve">(b) For the purpose of this subsection (9), and for account holders with uncompleted custom monthly contracts, the governing body shall only include purchased and unredeemed units before July 1, 2015.</w:t>
      </w:r>
    </w:p>
    <w:p>
      <w:pPr>
        <w:spacing w:before="0" w:after="0" w:line="408" w:lineRule="exact"/>
        <w:ind w:left="0" w:right="0" w:firstLine="576"/>
        <w:jc w:val="left"/>
      </w:pPr>
      <w:r>
        <w:rPr>
          <w:u w:val="single"/>
        </w:rPr>
        <w:t xml:space="preserve">(10)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rPr>
          <w:u w:val="single"/>
        </w:rPr>
        <w:t xml:space="preserve">(11)</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w:t>
      </w:r>
      <w:r>
        <w:rPr>
          <w:u w:val="single"/>
        </w:rPr>
        <w:t xml:space="preserve">or investment change</w:t>
      </w:r>
      <w:r>
        <w:rPr/>
        <w:t xml:space="preserve"> of a 529 account from </w:t>
      </w:r>
      <w:r>
        <w:rPr>
          <w:u w:val="single"/>
        </w:rPr>
        <w:t xml:space="preserve">a:</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S</w:t>
      </w:r>
      <w:r>
        <w:rPr/>
        <w:t xml:space="preserve">tate-sponsored prepaid tuition plan to a state-sponsored college savings plan</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S</w:t>
      </w:r>
      <w:r>
        <w:rPr/>
        <w:t xml:space="preserve">tate-sponsored college savings plan to a state-sponsored prepaid tuition plan</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S</w:t>
      </w:r>
      <w:r>
        <w:rPr/>
        <w:t xml:space="preserve">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15,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a341bd14c7e47c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8d3997a50a4628" /><Relationship Type="http://schemas.openxmlformats.org/officeDocument/2006/relationships/footer" Target="/word/footer.xml" Id="Rfa341bd14c7e47cd" /></Relationships>
</file>