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cd3adfc1d47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6155</w:t>
      </w:r>
    </w:p>
    <w:p>
      <w:pPr>
        <w:jc w:val="center"/>
        <w:spacing w:before="480" w:after="0" w:line="240"/>
      </w:pPr>
      <w:r>
        <w:t xml:space="preserve">Chapter </w:t>
      </w:r>
      <w:r>
        <w:rPr/>
        <w:t xml:space="preserve">192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BONE MARROW DONATION--DRIVER'S LICENSES AND IDENTICARDS</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11:41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Short, King, Hobbs, Takko, Brown, Padden, Saldaña, and Keiser)</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bone marrow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or identicard applicant with written materials regarding making a donation of bone marrow and being placed on the bone marrow donor registry at the completion of their licensing transaction.</w:t>
      </w:r>
    </w:p>
    <w:p>
      <w:pPr>
        <w:spacing w:before="0" w:after="0" w:line="408" w:lineRule="exact"/>
        <w:ind w:left="0" w:right="0" w:firstLine="576"/>
        <w:jc w:val="left"/>
      </w:pPr>
      <w:r>
        <w:rPr/>
        <w:t xml:space="preserve">(2) The department of licensing, in cooperation with the national marrow donor program and other appropriate organizations, shall place signage in each of the licensing service offices that provide background on the written materials that the applicant will receive regarding bone marrow donation. This will include a notice that any information provided by the driver's license or identicard applicant will be used solely for allowing the applicant to obtain information on becoming a possible bone marrow donor and will not be used for commercial or fund-raising purposes.</w:t>
      </w:r>
    </w:p>
    <w:p>
      <w:pPr>
        <w:spacing w:before="0" w:after="0" w:line="408" w:lineRule="exact"/>
        <w:ind w:left="0" w:right="0" w:firstLine="576"/>
        <w:jc w:val="left"/>
      </w:pPr>
      <w:r>
        <w:rPr/>
        <w:t xml:space="preserve">(3)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2019,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5fc814dcc094f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e6e416bfd4912" /><Relationship Type="http://schemas.openxmlformats.org/officeDocument/2006/relationships/footer" Target="/word/footer.xml" Id="R75fc814dcc094f74" /></Relationships>
</file>