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b5fee669264f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6404</w:t>
      </w:r>
    </w:p>
    <w:p>
      <w:pPr>
        <w:jc w:val="center"/>
        <w:spacing w:before="480" w:after="0" w:line="240"/>
      </w:pPr>
      <w:r>
        <w:t xml:space="preserve">Chapter </w:t>
      </w:r>
      <w:r>
        <w:rPr/>
        <w:t xml:space="preserve">59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CHILD CARE SERVICES--BACKGROUND CHECKS</w:t>
      </w:r>
    </w:p>
    <w:p>
      <w:pPr>
        <w:spacing w:before="720" w:after="240" w:line="240" w:lineRule="exact"/>
        <w:ind w:left="0" w:right="0" w:firstLine="576"/>
        <w:jc w:val="center"/>
      </w:pPr>
      <w:r>
        <w:t xml:space="preserve">EFFECTIVE DATE: </w:t>
      </w:r>
      <w:r>
        <w:rPr/>
        <w:t xml:space="preserve">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13, 2018 11:09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6404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Wellman, Mullet, Fain, Hunt, and Kuderer; by request of Department of Early Learning</w:t>
      </w:r>
    </w:p>
    <w:p/>
    <w:p>
      <w:r>
        <w:rPr>
          <w:t xml:space="preserve">Read first time 01/16/18.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persons providing child care services; reenacting and amending RCW 43.216.270;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2017 3rd sp.s. c 33 s 6 and 2017 3rd sp.s. c 6 s 206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w:t>
      </w:r>
      <w:r>
        <w:rPr>
          <w:u w:val="single"/>
        </w:rPr>
        <w:t xml:space="preserve">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The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w:t>
      </w:r>
      <w:r>
        <w:rPr>
          <w:u w:val="single"/>
        </w:rPr>
        <w:t xml:space="preserve">The payment requirements applicable to (a) through (g) of this subsection do not apply to persons who:</w:t>
      </w:r>
    </w:p>
    <w:p>
      <w:pPr>
        <w:spacing w:before="0" w:after="0" w:line="408" w:lineRule="exact"/>
        <w:ind w:left="0" w:right="0" w:firstLine="576"/>
        <w:jc w:val="left"/>
      </w:pPr>
      <w:r>
        <w:rPr>
          <w:u w:val="single"/>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u w:val="single"/>
        </w:rPr>
        <w:t xml:space="preserve">(ii) Receive child care subsidies; and</w:t>
      </w:r>
    </w:p>
    <w:p>
      <w:pPr>
        <w:spacing w:before="0" w:after="0" w:line="408" w:lineRule="exact"/>
        <w:ind w:left="0" w:right="0" w:firstLine="576"/>
        <w:jc w:val="left"/>
      </w:pPr>
      <w:r>
        <w:rPr>
          <w:u w:val="single"/>
        </w:rPr>
        <w:t xml:space="preserve">(iii) Are exempt from licensing under this chapter.</w:t>
      </w:r>
    </w:p>
    <w:p>
      <w:pPr>
        <w:spacing w:before="0" w:after="0" w:line="408" w:lineRule="exact"/>
        <w:ind w:left="0" w:right="0" w:firstLine="576"/>
        <w:jc w:val="left"/>
      </w:pPr>
      <w:r>
        <w:rPr>
          <w:u w:val="single"/>
        </w:rPr>
        <w:t xml:space="preserve">(i)</w:t>
      </w:r>
      <w:r>
        <w:rPr/>
        <w:t xml:space="preserve"> The applicant and agency shall maintain on-site for inspection a copy of the background check clearance card or certificate.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b83b3741e9b94d6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914c74248c455b" /><Relationship Type="http://schemas.openxmlformats.org/officeDocument/2006/relationships/footer" Target="/word/footer.xml" Id="Rb83b3741e9b94d6c" /></Relationships>
</file>