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d19a4822441bd" /></Relationships>
</file>

<file path=word/document.xml><?xml version="1.0" encoding="utf-8"?>
<w:document xmlns:w="http://schemas.openxmlformats.org/wordprocessingml/2006/main">
  <w:body>
    <w:p>
      <w:r>
        <w:t>H-0570.1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1090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MacEwen, Shea, Caldier, Stanford, and Young</w:t>
      </w:r>
    </w:p>
    <w:p/>
    <w:p>
      <w:r>
        <w:rPr>
          <w:t xml:space="preserve">Prefiled 01/08/19.</w:t>
        </w:rPr>
      </w:r>
      <w:r>
        <w:rPr>
          <w:t xml:space="preserve">Read first time 01/14/19.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property tax relief to senior citizens; adding a new section to chapter 84.36 RCW; and creating new sections.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84</w:t>
      </w:r>
      <w:r>
        <w:rPr/>
        <w:t xml:space="preserve">.</w:t>
      </w:r>
      <w:r>
        <w:t xml:space="preserve">36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Beginning with taxes levied for collection in the calendar year following a claimant's sixty-fifth birthday, and subject to the conditions in this section, a portion of the assessed value of a claimant's residence as identified in (b) of this subsection is taxed at the lesser rate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combined levy rate under RCW 84.52.065 (1) and (2) of whatever year in which the claimant turns sixty-five;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combined levy rate under RCW 84.52.065 (1) and (2) of the current assessment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portion of the residence to be taxed at the rate under (a) of this subsection is the first two hundred fifty thousand dollars of assessed value.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If the total assessed value of the residence is two hundred fifty thousand dollars or less, the preferential rate established in (a) of this subsection applies to the entire value.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preferential rate provided in this section is in addition to the exemption provided in RCW 84.36.379 through 84.36.389.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preferential rate provided in this section applies only to the state property taxes levied under RCW 84.52.065 (1) and (2) and not to any local property taxes.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following conditions apply to the claimants of the preferential rate provided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residence must be occupied by the claimant as his or her primary place of residence as of the date of tax assessment;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claimant may not receive the benefit provided in this section on more than one residence per year;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claimant must be a resident of the state of Washington as determined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"Claimant" means an individual who has turned sixty-five in the previous year and is eligible for the preferential rate paid on their residence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"Residence" has the same meaning as provided in RCW 84.36.383.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applies to taxes levied for collection in 2022 and thereafter.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70330e37be347b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1090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06c0ca68e4ff0" /><Relationship Type="http://schemas.openxmlformats.org/officeDocument/2006/relationships/footer" Target="/word/footer1.xml" Id="Re70330e37be347b4" /></Relationships>
</file>