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9056d5020d44ae" /></Relationships>
</file>

<file path=word/document.xml><?xml version="1.0" encoding="utf-8"?>
<w:document xmlns:w="http://schemas.openxmlformats.org/wordprocessingml/2006/main">
  <w:body>
    <w:p>
      <w:r>
        <w:t>H-0611.1</w:t>
      </w:r>
    </w:p>
    <w:p>
      <w:pPr>
        <w:jc w:val="center"/>
      </w:pPr>
      <w:r>
        <w:t>_______________________________________________</w:t>
      </w:r>
    </w:p>
    <w:p/>
    <w:p>
      <w:pPr>
        <w:jc w:val="center"/>
      </w:pPr>
      <w:r>
        <w:rPr>
          <w:b/>
        </w:rPr>
        <w:t>HOUSE BILL 1106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Orwall, Kilduff, Wylie, Santos, Leavitt, and Walen</w:t>
      </w:r>
    </w:p>
    <w:p/>
    <w:p>
      <w:r>
        <w:rPr>
          <w:t xml:space="preserve">Prefiled 01/10/19.</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use of detention for violation of a truancy-related court order while providing more opportunities for truant youth to access services and treatment; amending RCW 7.21.030, 28A.225.090, 28A.225.026, and 28A.225.027;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 In cases under chapters 13.32A</w:t>
      </w:r>
      <w:r>
        <w:t>((</w:t>
      </w:r>
      <w:r>
        <w:rPr>
          <w:strike/>
        </w:rPr>
        <w:t xml:space="preserve">,</w:t>
      </w:r>
      <w:r>
        <w:t>))</w:t>
      </w:r>
      <w:r>
        <w:rPr/>
        <w:t xml:space="preserve"> </w:t>
      </w:r>
      <w:r>
        <w:rPr>
          <w:u w:val="single"/>
        </w:rPr>
        <w:t xml:space="preserve">and</w:t>
      </w:r>
      <w:r>
        <w:rPr/>
        <w:t xml:space="preserve"> 13.34</w:t>
      </w:r>
      <w:r>
        <w:t>((</w:t>
      </w:r>
      <w:r>
        <w:rPr>
          <w:strike/>
        </w:rPr>
        <w:t xml:space="preserve">, and 28A.225</w:t>
      </w:r>
      <w:r>
        <w:t>))</w:t>
      </w:r>
      <w:r>
        <w:rPr/>
        <w:t xml:space="preserve"> RCW, commitment to juvenile detention for a period of time not to exceed seven days.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w:t>
      </w:r>
      <w:r>
        <w:t>((</w:t>
      </w:r>
      <w:r>
        <w:rPr>
          <w:strike/>
        </w:rPr>
        <w:t xml:space="preserve">(a)</w:t>
      </w:r>
      <w:r>
        <w:t>))</w:t>
      </w:r>
      <w:r>
        <w:rPr/>
        <w:t xml:space="preserve"> If the child fails to comply with the court order, the court may impose: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Community restitution;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Nonresidential programs with intensive wraparound services;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requirement that the child meet with a mentor for a specified number of times;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Other services and interventions that the court deems appropriate.</w:t>
      </w:r>
    </w:p>
    <w:p>
      <w:pPr>
        <w:spacing w:before="0" w:after="0" w:line="408" w:lineRule="exact"/>
        <w:ind w:left="0" w:right="0" w:firstLine="576"/>
        <w:jc w:val="left"/>
      </w:pPr>
      <w:r>
        <w:t>((</w:t>
      </w:r>
      <w:r>
        <w:rPr>
          <w:strike/>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r>
        <w: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2017 c 291 s 4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truancy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truancy board. A community truancy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three hundred students must enter into a memorandum of understanding with the juvenile court in the county in which it is located with respect to: (a) The operation of a community truancy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 School districts with fewer than three hundred students may work cooperatively with other school districts or the school district's educational service district to ensure access to a community truancy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and to the office of the superintendent of public instruction, a person or persons to coordinate school district efforts to address excessive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truancy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truancy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0" w:after="0" w:line="408" w:lineRule="exact"/>
        <w:ind w:left="0" w:right="0" w:firstLine="576"/>
        <w:jc w:val="left"/>
      </w:pPr>
      <w:r>
        <w:rPr>
          <w:u w:val="single"/>
        </w:rPr>
        <w:t xml:space="preserve">(6) The legislature applauds the collaborative efforts currently underway in some communities across the state, between juvenile courts on the one hand, and school districts, educational service districts, and community truancy boards on the other hand, aimed at improving attendance through case management and intervention, and the provision of supports and services such as classes and activities to help engage children in productive and positive activities, screenings to identify barriers to attendance and specific needs of individual children, trauma-informed approaches to discipline, evidence-based treatments that have been found to be effective in supporting at-risk youth and their families, such as functional family therapy and dialectical behavioral therapy, and culturally appropriate promising practices. The legislature encourages other juvenile courts to follow the lead of those already engaged in collaborative, community-wide efforts to improve attendance and to use distributions received pursuant to the omnibus appropriations act for truancy petitions to engage in similar collaborative efforts aimed at improving attendance.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027</w:t>
      </w:r>
      <w:r>
        <w:rPr/>
        <w:t xml:space="preserve"> and 2016 c 205 s 20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allocate to community truancy boards grant funds that may be used to supplement existing funds in order to pay for training for board members or the provision of services and treatment to children and their families. </w:t>
      </w:r>
      <w:r>
        <w:rPr>
          <w:u w:val="single"/>
        </w:rPr>
        <w:t xml:space="preserve">Twenty-five percent of the funds appropriated may be allocated as grant funds for training and seventy-five percent of the funds appropriated may be allocated as grant funds for the provision of services and treatment to children and their families.</w:t>
      </w:r>
    </w:p>
    <w:p>
      <w:pPr>
        <w:spacing w:before="0" w:after="0" w:line="408" w:lineRule="exact"/>
        <w:ind w:left="0" w:right="0" w:firstLine="576"/>
        <w:jc w:val="left"/>
      </w:pPr>
      <w:r>
        <w:rPr/>
        <w:t xml:space="preserve">(2) The superintendent of public instruction must select grant recipients based on the criteria in this section. This is a competitive grant process. A prerequisite to applying for either or both grants is a memoranda of understanding, between a school district and a court, to institute a new or maintain an existing community truancy board that meets the requirements of RCW 28A.225.025.</w:t>
      </w:r>
    </w:p>
    <w:p>
      <w:pPr>
        <w:spacing w:before="0" w:after="0" w:line="408" w:lineRule="exact"/>
        <w:ind w:left="0" w:right="0" w:firstLine="576"/>
        <w:jc w:val="left"/>
      </w:pPr>
      <w:r>
        <w:rPr/>
        <w:t xml:space="preserve">(3) Successful applicants for an award of grant funds to supplement existing funds to pay for the training of community truancy board members must commit to the provision of training to board members regarding the identification of barriers to school attendance, the use of the Washington assessment of the risks and needs of students (WARNS) or other assessment tools to identify the specific needs of individual children, trauma-informed approaches to discipline, research about adverse childhood experiences, evidence-based treatments and culturally appropriate promising practices, as well as the specific academic and community services and treatments available in the school, court, community, and elsewhere. This training may be provided by educational service districts.</w:t>
      </w:r>
    </w:p>
    <w:p>
      <w:pPr>
        <w:spacing w:before="0" w:after="0" w:line="408" w:lineRule="exact"/>
        <w:ind w:left="0" w:right="0" w:firstLine="576"/>
        <w:jc w:val="left"/>
      </w:pPr>
      <w:r>
        <w:rPr/>
        <w:t xml:space="preserve">(4) Successful applicants for an award of grant funds to supplement existing funds to pay for services and treatments provided to children and their families must commit to the provision of academic services such as tutoring, credit retrieval and school reengagement supports, community services, and evidence-based treatments that have been found to be effective in supporting at-risk youth and their families, such as functional family therapy </w:t>
      </w:r>
      <w:r>
        <w:rPr>
          <w:u w:val="single"/>
        </w:rPr>
        <w:t xml:space="preserve">and dialectical behavioral therapy</w:t>
      </w:r>
      <w:r>
        <w:rPr/>
        <w:t xml:space="preserve">, or those that have been shown to be culturally appropriate promising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July 1, 2020.</w:t>
      </w:r>
    </w:p>
    <w:p/>
    <w:p>
      <w:pPr>
        <w:jc w:val="center"/>
      </w:pPr>
      <w:r>
        <w:rPr>
          <w:b/>
        </w:rPr>
        <w:t>--- END ---</w:t>
      </w:r>
    </w:p>
    <w:sectPr>
      <w:pgNumType w:start="1"/>
      <w:footerReference xmlns:r="http://schemas.openxmlformats.org/officeDocument/2006/relationships" r:id="Reed3af66dcee4b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9f54714fab4b78" /><Relationship Type="http://schemas.openxmlformats.org/officeDocument/2006/relationships/footer" Target="/word/footer1.xml" Id="Reed3af66dcee4b4b" /></Relationships>
</file>