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a91f22842d409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Blake, Chandler, Kretz, Schmick, and Bergquist</w:t>
      </w:r>
    </w:p>
    <w:p/>
    <w:p>
      <w:r>
        <w:rPr>
          <w:t xml:space="preserve">Read first time 01/16/19.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hydraulic project eligibility standards under RCW 77.55.181 for conservation district-sponsored fish habitat enhancement projects;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2019 c 150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w:t>
      </w:r>
      <w:r>
        <w:t>((</w:t>
      </w:r>
      <w:r>
        <w:rPr>
          <w:strike/>
        </w:rPr>
        <w:t xml:space="preserve">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r>
        <w:t>))</w:t>
      </w:r>
      <w:r>
        <w:rPr/>
        <w:t xml:space="preserve"> </w:t>
      </w:r>
      <w:r>
        <w:rPr>
          <w:u w:val="single"/>
        </w:rPr>
        <w:t xml:space="preserve">By conservation districts as conservation district-sponsored fish habitat enhancement or restoration projects</w:t>
      </w:r>
      <w:r>
        <w:rPr/>
        <w:t xml:space="preserv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1b1758b14dc54b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38564951b4bb6" /><Relationship Type="http://schemas.openxmlformats.org/officeDocument/2006/relationships/footer" Target="/word/footer1.xml" Id="R1b1758b14dc54b9e" /></Relationships>
</file>