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5bf6e007724349" /></Relationships>
</file>

<file path=word/document.xml><?xml version="1.0" encoding="utf-8"?>
<w:document xmlns:w="http://schemas.openxmlformats.org/wordprocessingml/2006/main">
  <w:body>
    <w:p>
      <w:r>
        <w:t>Z-0317.1</w:t>
      </w:r>
    </w:p>
    <w:p>
      <w:pPr>
        <w:jc w:val="center"/>
      </w:pPr>
      <w:r>
        <w:t>_______________________________________________</w:t>
      </w:r>
    </w:p>
    <w:p/>
    <w:p>
      <w:pPr>
        <w:jc w:val="center"/>
      </w:pPr>
      <w:r>
        <w:rPr>
          <w:b/>
        </w:rPr>
        <w:t>HOUSE BILL 1195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Walsh, Dolan, Wylie, and Pollet; by request of Public Disclosure Commission</w:t>
      </w:r>
    </w:p>
    <w:p/>
    <w:p>
      <w:r>
        <w:rPr>
          <w:t xml:space="preserve">Read first time 01/16/19.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efficient administration of campaign finance and public disclosure reporting and enforcement; amending RCW 42.17A.001, 42.17A.055, 42.17A.065, 42.17A.100, 42.17A.105, 42.17A.110, 42.17A.120, 42.17A.125, 42.17A.135, 42.17A.140, 42.17A.205, 42.17A.207, 42.17A.215, 42.17A.225, 42.17A.255, 42.17A.260, 42.17A.265, 42.17A.305, 42.17A.345, 42.17A.420, 42.17A.475,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and 42.17A.061;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r>
        <w:rPr>
          <w:u w:val="single"/>
        </w:rPr>
        <w:t xml:space="preserve">, except as provided under (b) of this subsection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 and except as provided in (b) of this subsection.</w:t>
      </w:r>
    </w:p>
    <w:p>
      <w:pPr>
        <w:spacing w:before="0" w:after="0" w:line="408" w:lineRule="exact"/>
        <w:ind w:left="0" w:right="0" w:firstLine="576"/>
        <w:jc w:val="left"/>
      </w:pPr>
      <w:r>
        <w:rPr>
          <w:u w:val="single"/>
        </w:rPr>
        <w:t xml:space="preserve">(b) A commissioner may engage in the activities set forth in (a)(vi) of this subsection, if the activity:</w:t>
      </w:r>
    </w:p>
    <w:p>
      <w:pPr>
        <w:spacing w:before="0" w:after="0" w:line="408" w:lineRule="exact"/>
        <w:ind w:left="0" w:right="0" w:firstLine="576"/>
        <w:jc w:val="left"/>
      </w:pPr>
      <w:r>
        <w:rPr>
          <w:u w:val="single"/>
        </w:rPr>
        <w:t xml:space="preserve">(i) Is outside of the state of Washington and not otherwise within the jurisdiction of the commission;</w:t>
      </w:r>
    </w:p>
    <w:p>
      <w:pPr>
        <w:spacing w:before="0" w:after="0" w:line="408" w:lineRule="exact"/>
        <w:ind w:left="0" w:right="0" w:firstLine="576"/>
        <w:jc w:val="left"/>
      </w:pPr>
      <w:r>
        <w:rPr>
          <w:u w:val="single"/>
        </w:rPr>
        <w:t xml:space="preserve">(ii) Does not create the appearance of a conflict of interest with the duties of the commission; and</w:t>
      </w:r>
    </w:p>
    <w:p>
      <w:pPr>
        <w:spacing w:before="0" w:after="0" w:line="408" w:lineRule="exact"/>
        <w:ind w:left="0" w:right="0" w:firstLine="576"/>
        <w:jc w:val="left"/>
      </w:pPr>
      <w:r>
        <w:rPr>
          <w:u w:val="single"/>
        </w:rPr>
        <w:t xml:space="preserve">(iii) Does not involve any affiliation with the commission.</w:t>
      </w:r>
    </w:p>
    <w:p>
      <w:pPr>
        <w:spacing w:before="0" w:after="0" w:line="408" w:lineRule="exact"/>
        <w:ind w:left="0" w:right="0" w:firstLine="576"/>
        <w:jc w:val="left"/>
      </w:pPr>
      <w:r>
        <w:rPr>
          <w:u w:val="single"/>
        </w:rPr>
        <w:t xml:space="preserve">(c)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(d)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w:t>
      </w:r>
      <w:r>
        <w:t>))</w:t>
      </w:r>
      <w:r>
        <w:rPr/>
        <w:t xml:space="preserve">. </w:t>
      </w:r>
      <w:r>
        <w:rPr>
          <w:u w:val="single"/>
        </w:rPr>
        <w:t xml:space="preserve">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 The commission shall act to suspend or modify any reporting requirements</w:t>
      </w:r>
      <w:r>
        <w:t>((</w:t>
      </w:r>
      <w:r>
        <w:rPr>
          <w:strike/>
        </w:rPr>
        <w:t xml:space="preserve">:</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t xml:space="preserve"> </w:t>
      </w:r>
      <w:r>
        <w:rPr>
          <w:u w:val="single"/>
        </w:rPr>
        <w:t xml:space="preserve">or may delegate that responsibility to a presiding officer. Any decision made by a delegated presiding officer may be reviewed by the commission</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Any information provided or prepared for a modification hearing is exempt from public disclosure under this chapter and chapter 42.56 RCW to the extent such information would present a concern to any individual.</w:t>
      </w:r>
    </w:p>
    <w:p>
      <w:pPr>
        <w:spacing w:before="0" w:after="0" w:line="408" w:lineRule="exact"/>
        <w:ind w:left="0" w:right="0" w:firstLine="576"/>
        <w:jc w:val="left"/>
      </w:pPr>
      <w:r>
        <w:rPr/>
        <w:t xml:space="preserve">(4) </w:t>
      </w:r>
      <w:r>
        <w:rPr>
          <w:u w:val="single"/>
        </w:rPr>
        <w:t xml:space="preserve">If the commission grants a modification request, it may apply the modification of reporting requirements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rPr/>
        <w:t xml:space="preserve">(1) At the beginning of each even-numbered calendar year, the commission </w:t>
      </w:r>
      <w:r>
        <w:t>((</w:t>
      </w:r>
      <w:r>
        <w:rPr>
          <w:strike/>
        </w:rPr>
        <w:t xml:space="preserve">shall</w:t>
      </w:r>
      <w:r>
        <w:t>))</w:t>
      </w:r>
      <w:r>
        <w:rPr/>
        <w:t xml:space="preserve"> </w:t>
      </w:r>
      <w:r>
        <w:rPr>
          <w:u w:val="single"/>
        </w:rPr>
        <w:t xml:space="preserve">may</w:t>
      </w:r>
      <w:r>
        <w:rPr/>
        <w:t xml:space="preserve"> increase or decrease the dollar amounts in RCW </w:t>
      </w:r>
      <w:r>
        <w:t>((</w:t>
      </w:r>
      <w:r>
        <w:rPr>
          <w:strike/>
        </w:rPr>
        <w:t xml:space="preserve">42.17A.005(26),</w:t>
      </w:r>
      <w:r>
        <w:t>))</w:t>
      </w:r>
      <w:r>
        <w:rPr/>
        <w:t xml:space="preserve"> 42.17A.405, 42.17A.410, 42.17A.445(3), </w:t>
      </w:r>
      <w:r>
        <w:t>((</w:t>
      </w:r>
      <w:r>
        <w:rPr>
          <w:strike/>
        </w:rPr>
        <w:t xml:space="preserve">42.17A.475,</w:t>
      </w:r>
      <w:r>
        <w:t>))</w:t>
      </w:r>
      <w:r>
        <w:rPr/>
        <w:t xml:space="preserve">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t xml:space="preserve">(2) The commission may revise, at least once every five years but no more often than every two years, the monetary reporting thresholds and reporting code values of this chapter. The revisions shall be only for the purpose of recognizing economic changes as reflected by an inflationary index recommended by the office of financial management.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rPr/>
        <w:t xml:space="preserve">(3) Revisions made in accordance with subsections (1) and (2) of this section shall be adopted as rules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The treasurer may not close the continuing political committee's bank account before the political committee has dissolved.</w:t>
      </w:r>
    </w:p>
    <w:p>
      <w:pPr>
        <w:spacing w:before="0" w:after="0" w:line="408" w:lineRule="exact"/>
        <w:ind w:left="0" w:right="0" w:firstLine="576"/>
        <w:jc w:val="left"/>
      </w:pPr>
      <w:r>
        <w:rPr/>
        <w:t xml:space="preserve">(e)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participating in an election campaign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The treasurer may not close the political committee's bank account before the political committee has dissolved.</w:t>
      </w:r>
    </w:p>
    <w:p>
      <w:pPr>
        <w:spacing w:before="0" w:after="0" w:line="408" w:lineRule="exact"/>
        <w:ind w:left="0" w:right="0" w:firstLine="576"/>
        <w:jc w:val="left"/>
      </w:pPr>
      <w:r>
        <w:rPr/>
        <w:t xml:space="preserve">(e)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 commentary or analysis on a ballot measure by an incidental committee is not considered a contribution if it does not advocate specifically to vote for or against the ballot measure;</w:t>
      </w:r>
      <w:r>
        <w:t>))</w:t>
      </w:r>
      <w:r>
        <w:rPr/>
        <w:t xml:space="preserve"> and</w:t>
      </w:r>
    </w:p>
    <w:p>
      <w:pPr>
        <w:spacing w:before="0" w:after="0" w:line="408" w:lineRule="exact"/>
        <w:ind w:left="0" w:right="0" w:firstLine="576"/>
        <w:jc w:val="left"/>
      </w:pPr>
      <w:r>
        <w:rPr/>
        <w:t xml:space="preserve">(f)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w:t>
      </w:r>
      <w:r>
        <w:rPr/>
        <w:t xml:space="preserve"> Where an amount is required to be reported under subsection (1)(a) through (m) of this section, it 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 or</w:t>
      </w:r>
    </w:p>
    <w:p>
      <w:pPr>
        <w:spacing w:before="0" w:after="0" w:line="408" w:lineRule="exact"/>
        <w:ind w:left="0" w:right="0" w:firstLine="576"/>
        <w:jc w:val="left"/>
      </w:pPr>
      <w:r>
        <w:rPr>
          <w:u w:val="single"/>
        </w:rPr>
        <w:t xml:space="preserve">(ii)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 and</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p>
    <w:p>
      <w:pPr>
        <w:spacing w:before="0" w:after="0" w:line="408" w:lineRule="exact"/>
        <w:ind w:left="0" w:right="0" w:firstLine="576"/>
        <w:jc w:val="left"/>
      </w:pPr>
      <w:r>
        <w:rPr/>
        <w:t xml:space="preserve">(3) To initiate the citizen's action, after meeting the requirements under subsection (2)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t>
      </w:r>
      <w:r>
        <w:rPr>
          <w:u w:val="single"/>
        </w:rPr>
        <w:t xml:space="preserve">if:</w:t>
      </w:r>
    </w:p>
    <w:p>
      <w:pPr>
        <w:spacing w:before="0" w:after="0" w:line="408" w:lineRule="exact"/>
        <w:ind w:left="0" w:right="0" w:firstLine="576"/>
        <w:jc w:val="left"/>
      </w:pPr>
      <w:r>
        <w:rPr>
          <w:u w:val="single"/>
        </w:rPr>
        <w:t xml:space="preserve">(a) W</w:t>
      </w:r>
      <w:r>
        <w:rPr/>
        <w:t xml:space="preserve">ithin ten days </w:t>
      </w:r>
      <w:r>
        <w:t>((</w:t>
      </w:r>
      <w:r>
        <w:rPr>
          <w:strike/>
        </w:rPr>
        <w:t xml:space="preserve">if</w:t>
      </w:r>
      <w:r>
        <w:t>))</w:t>
      </w:r>
      <w:r>
        <w:rPr>
          <w:u w:val="single"/>
        </w:rPr>
        <w:t xml:space="preserve">,</w:t>
      </w:r>
      <w:r>
        <w:rPr/>
        <w:t xml:space="preserve"> the commission does not take action </w:t>
      </w:r>
      <w:r>
        <w:t>((</w:t>
      </w:r>
      <w:r>
        <w:rPr>
          <w:strike/>
        </w:rPr>
        <w:t xml:space="preserve">or, if</w:t>
      </w:r>
      <w:r>
        <w:t>))</w:t>
      </w:r>
      <w:r>
        <w:rPr/>
        <w:t xml:space="preserve"> </w:t>
      </w:r>
      <w:r>
        <w:rPr>
          <w:u w:val="single"/>
        </w:rPr>
        <w:t xml:space="preserve">authorized under RCW 42.17A.755(1); and</w:t>
      </w:r>
    </w:p>
    <w:p>
      <w:pPr>
        <w:spacing w:before="0" w:after="0" w:line="408" w:lineRule="exact"/>
        <w:ind w:left="0" w:right="0" w:firstLine="576"/>
        <w:jc w:val="left"/>
      </w:pPr>
      <w:r>
        <w:rPr>
          <w:u w:val="single"/>
        </w:rPr>
        <w:t xml:space="preserve">(b) Within forty-five days, where</w:t>
      </w:r>
      <w:r>
        <w:rPr/>
        <w:t xml:space="preserve"> applicable, the attorney general does not commence an action </w:t>
      </w:r>
      <w:r>
        <w:rPr>
          <w:u w:val="single"/>
        </w:rPr>
        <w:t xml:space="preserve">or publish a decision whether to commence an action pursuant to RCW 42.17A.765(1)(b)</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w:t>
      </w:r>
      <w:r>
        <w:t>((</w:t>
      </w:r>
      <w:r>
        <w:rPr>
          <w:strike/>
        </w:rPr>
        <w:t xml:space="preserve">but he or she shall be entitled to be reimbursed by the state</w:t>
      </w:r>
      <w:r>
        <w:t>))</w:t>
      </w:r>
      <w:r>
        <w:rPr/>
        <w:t xml:space="preserve"> </w:t>
      </w:r>
      <w:r>
        <w:rPr>
          <w:u w:val="single"/>
        </w:rPr>
        <w:t xml:space="preserve">except</w:t>
      </w:r>
      <w:r>
        <w:rPr/>
        <w:t xml:space="preserve"> for reasonable costs and reasonable attorneys' fees </w:t>
      </w:r>
      <w:r>
        <w:t>((</w:t>
      </w:r>
      <w:r>
        <w:rPr>
          <w:strike/>
        </w:rPr>
        <w:t xml:space="preserve">the person incurred</w:t>
      </w:r>
      <w:r>
        <w:t>))</w:t>
      </w:r>
      <w:r>
        <w:rPr/>
        <w:t xml:space="preserve"> </w:t>
      </w:r>
      <w:r>
        <w:rPr>
          <w:u w:val="single"/>
        </w:rPr>
        <w:t xml:space="preserve">awarded by the court, if any, which shall be paid by the defendant</w:t>
      </w:r>
      <w:r>
        <w:rPr/>
        <w:t xml:space="preserve">.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 and</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35 and 36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35 and 36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63a55e3efb40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6189f5e9247e2" /><Relationship Type="http://schemas.openxmlformats.org/officeDocument/2006/relationships/footer" Target="/word/footer1.xml" Id="R7b63a55e3efb4051" /></Relationships>
</file>