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a0e5389994fef" /></Relationships>
</file>

<file path=word/document.xml><?xml version="1.0" encoding="utf-8"?>
<w:document xmlns:w="http://schemas.openxmlformats.org/wordprocessingml/2006/main">
  <w:body>
    <w:p>
      <w:r>
        <w:t>H-0394.2</w:t>
      </w:r>
    </w:p>
    <w:p>
      <w:pPr>
        <w:jc w:val="center"/>
      </w:pPr>
      <w:r>
        <w:t>_______________________________________________</w:t>
      </w:r>
    </w:p>
    <w:p/>
    <w:p>
      <w:pPr>
        <w:jc w:val="center"/>
      </w:pPr>
      <w:r>
        <w:rPr>
          <w:b/>
        </w:rPr>
        <w:t>HOUSE BILL 1216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Harris, Lovick, Doglio, Stonier, Irwin, Senn, Appleton, Kirby, Vick, Bergquist, Riccelli, Fey, Orwall, Griffey, Gregerson, Peterson, Stanford, Frame, Kilduff, Ortiz-Self, Ryu, Valdez, Lekanoff, Sells, Slatter, Thai, Wylie, Callan, Jinkins, Macri, Goodman, and Santos</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a new section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Comprehensive school safety planning coordination that, at a minimum, includes:</w:t>
      </w:r>
    </w:p>
    <w:p>
      <w:pPr>
        <w:spacing w:before="0" w:after="0" w:line="408" w:lineRule="exact"/>
        <w:ind w:left="0" w:right="0" w:firstLine="576"/>
        <w:jc w:val="left"/>
      </w:pPr>
      <w:r>
        <w:rPr/>
        <w:t xml:space="preserve">(i) Support for school districts' efforts to meet state requirements regarding school safety, including the development and implementation of school-level and district-level comprehensive safe school plans as required under RCW 28A.320.125;</w:t>
      </w:r>
    </w:p>
    <w:p>
      <w:pPr>
        <w:spacing w:before="0" w:after="0" w:line="408" w:lineRule="exact"/>
        <w:ind w:left="0" w:right="0" w:firstLine="576"/>
        <w:jc w:val="left"/>
      </w:pPr>
      <w:r>
        <w:rPr/>
        <w:t xml:space="preserve">(ii) Facilitating collaboration between school districts and community school safety stakeholders in order to strengthen comprehensive school safety planning;</w:t>
      </w:r>
    </w:p>
    <w:p>
      <w:pPr>
        <w:spacing w:before="0" w:after="0" w:line="408" w:lineRule="exact"/>
        <w:ind w:left="0" w:right="0" w:firstLine="576"/>
        <w:jc w:val="left"/>
      </w:pPr>
      <w:r>
        <w:rPr/>
        <w:t xml:space="preserve">(iii) Providing training and technical assistance to school districts and public schools regarding best practices in comprehensive school safety planning;</w:t>
      </w:r>
    </w:p>
    <w:p>
      <w:pPr>
        <w:spacing w:before="0" w:after="0" w:line="408" w:lineRule="exact"/>
        <w:ind w:left="0" w:right="0" w:firstLine="576"/>
        <w:jc w:val="left"/>
      </w:pPr>
      <w:r>
        <w:rPr/>
        <w:t xml:space="preserve">(iv) Assisting, as necessary, with needs assessments and gap analyses as school districts develop emergency plans;</w:t>
      </w:r>
    </w:p>
    <w:p>
      <w:pPr>
        <w:spacing w:before="0" w:after="0" w:line="408" w:lineRule="exact"/>
        <w:ind w:left="0" w:right="0" w:firstLine="576"/>
        <w:jc w:val="left"/>
      </w:pPr>
      <w:r>
        <w:rPr/>
        <w:t xml:space="preserve">(v) Developing and coordinating a regional system of response and recovery for school districts and public schools when emergencies or crises occur; and</w:t>
      </w:r>
    </w:p>
    <w:p>
      <w:pPr>
        <w:spacing w:before="0" w:after="0" w:line="408" w:lineRule="exact"/>
        <w:ind w:left="0" w:right="0" w:firstLine="576"/>
        <w:jc w:val="left"/>
      </w:pPr>
      <w:r>
        <w:rPr/>
        <w:t xml:space="preserve">(vi) Providing technical assistance to school districts that are considering the purchase of, or implementing, school safety technology;</w:t>
      </w:r>
    </w:p>
    <w:p>
      <w:pPr>
        <w:spacing w:before="0" w:after="0" w:line="408" w:lineRule="exact"/>
        <w:ind w:left="0" w:right="0" w:firstLine="576"/>
        <w:jc w:val="left"/>
      </w:pPr>
      <w:r>
        <w:rPr/>
        <w:t xml:space="preserve">(b)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(iii)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(iv) Identifying, sharing, and integrating, to the extent practicable, behavioral and physical health care service delivery models;</w:t>
      </w:r>
    </w:p>
    <w:p>
      <w:pPr>
        <w:spacing w:before="0" w:after="0" w:line="408" w:lineRule="exact"/>
        <w:ind w:left="0" w:right="0" w:firstLine="576"/>
        <w:jc w:val="left"/>
      </w:pPr>
      <w:r>
        <w:rPr/>
        <w:t xml:space="preserve">(v) Providing medicaid billing related training, technical assistance, and coordination between school districts; and</w:t>
      </w:r>
    </w:p>
    <w:p>
      <w:pPr>
        <w:spacing w:before="0" w:after="0" w:line="408" w:lineRule="exact"/>
        <w:ind w:left="0" w:right="0" w:firstLine="576"/>
        <w:jc w:val="left"/>
      </w:pPr>
      <w:r>
        <w:rPr/>
        <w:t xml:space="preserve">(vi) Guidance in implementing best practices in response to, and to recover from, the suicide or attempted suicide of a student;</w:t>
      </w:r>
    </w:p>
    <w:p>
      <w:pPr>
        <w:spacing w:before="0" w:after="0" w:line="408" w:lineRule="exact"/>
        <w:ind w:left="0" w:right="0" w:firstLine="576"/>
        <w:jc w:val="left"/>
      </w:pPr>
      <w:r>
        <w:rPr/>
        <w:t xml:space="preserve">(c)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(d) Assistance with coordinating other entities in the region to provide support to school districts before emergencies occur;</w:t>
      </w:r>
    </w:p>
    <w:p>
      <w:pPr>
        <w:spacing w:before="0" w:after="0" w:line="408" w:lineRule="exact"/>
        <w:ind w:left="0" w:right="0" w:firstLine="576"/>
        <w:jc w:val="left"/>
      </w:pPr>
      <w:r>
        <w:rPr/>
        <w:t xml:space="preserve">(e)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(f) Technical assistance to school districts seeking funding for first aid, health, and safety and security resources;</w:t>
      </w:r>
    </w:p>
    <w:p>
      <w:pPr>
        <w:spacing w:before="0" w:after="0" w:line="408" w:lineRule="exact"/>
        <w:ind w:left="0" w:right="0" w:firstLine="576"/>
        <w:jc w:val="left"/>
      </w:pPr>
      <w:r>
        <w:rPr/>
        <w:t xml:space="preserve">(g) Information about systems and programs that allow anonymous reporting of student concerns;</w:t>
      </w:r>
    </w:p>
    <w:p>
      <w:pPr>
        <w:spacing w:before="0" w:after="0" w:line="408" w:lineRule="exact"/>
        <w:ind w:left="0" w:right="0" w:firstLine="576"/>
        <w:jc w:val="left"/>
      </w:pPr>
      <w:r>
        <w:rPr/>
        <w:t xml:space="preserve">(h)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(i)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(j) Other duties consistent with state and federal school safety requirements.</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(f) What are the school districts' costs for using the system or any alternative methods;</w:t>
      </w:r>
    </w:p>
    <w:p>
      <w:pPr>
        <w:spacing w:before="0" w:after="0" w:line="408" w:lineRule="exact"/>
        <w:ind w:left="0" w:right="0" w:firstLine="576"/>
        <w:jc w:val="left"/>
      </w:pPr>
      <w:r>
        <w:rPr/>
        <w:t xml:space="preserve">(g) Whether the system is interoperable with other systems used by school districts and educational service districts;</w:t>
      </w:r>
    </w:p>
    <w:p>
      <w:pPr>
        <w:spacing w:before="0" w:after="0" w:line="408" w:lineRule="exact"/>
        <w:ind w:left="0" w:right="0" w:firstLine="576"/>
        <w:jc w:val="left"/>
      </w:pPr>
      <w:r>
        <w:rPr/>
        <w:t xml:space="preserve">(h) What training school district staff receive on using the system;</w:t>
      </w:r>
    </w:p>
    <w:p>
      <w:pPr>
        <w:spacing w:before="0" w:after="0" w:line="408" w:lineRule="exact"/>
        <w:ind w:left="0" w:right="0" w:firstLine="576"/>
        <w:jc w:val="left"/>
      </w:pPr>
      <w:r>
        <w:rPr/>
        <w:t xml:space="preserve">(i) Whether it would be efficient and effective to coordinate use of the system through the educational service districts; and</w:t>
      </w:r>
    </w:p>
    <w:p>
      <w:pPr>
        <w:spacing w:before="0" w:after="0" w:line="408" w:lineRule="exact"/>
        <w:ind w:left="0" w:right="0" w:firstLine="576"/>
        <w:jc w:val="left"/>
      </w:pPr>
      <w:r>
        <w:rPr/>
        <w:t xml:space="preserve">(j)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SAFETY CENTER STAFFING ALLOCATIONS.</w:t>
      </w:r>
      <w:r>
        <w:t xml:space="preserve">  </w:t>
      </w:r>
      <w:r>
        <w:rPr/>
        <w:t xml:space="preserve">To the extent amounts are appropriated for the purposes of section 2 or 3 of this act, staff allocations must be based on certificated instructional staff allocations as set forth in RCW 28A.150.410, and allocations for fringe benefits and insurance benefits must be calculated using rates specified in the omnibus operating appropriations act for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
      <w:pPr>
        <w:jc w:val="center"/>
      </w:pPr>
      <w:r>
        <w:rPr>
          <w:b/>
        </w:rPr>
        <w:t>--- END ---</w:t>
      </w:r>
    </w:p>
    <w:sectPr>
      <w:pgNumType w:start="1"/>
      <w:footerReference xmlns:r="http://schemas.openxmlformats.org/officeDocument/2006/relationships" r:id="R7fa567e746ee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a822375304d47" /><Relationship Type="http://schemas.openxmlformats.org/officeDocument/2006/relationships/footer" Target="/word/footer1.xml" Id="R7fa567e746ee4169" /></Relationships>
</file>