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326042c9f4211" /></Relationships>
</file>

<file path=word/document.xml><?xml version="1.0" encoding="utf-8"?>
<w:document xmlns:w="http://schemas.openxmlformats.org/wordprocessingml/2006/main">
  <w:body>
    <w:p>
      <w:r>
        <w:t>H-0324.1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1304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MacEwen, Stonier, Santos, Harris, Steele, Griffey, Reeves, Stokesbary, Sells, Dolan, Eslick, Lekanoff, Bergquist, Jinkins, Leavitt, Thai, and Wylie</w:t>
      </w:r>
    </w:p>
    <w:p/>
    <w:p>
      <w:r>
        <w:rPr>
          <w:t xml:space="preserve">Read first time 01/18/19.  </w:t>
        </w:rPr>
      </w:r>
      <w:r>
        <w:rPr>
          <w:t xml:space="preserve">Referred to Committee on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career and technical education in alternative learning experience programs; and amending RCW 28A.232.020.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232</w:t>
      </w:r>
      <w:r>
        <w:rPr/>
        <w:t xml:space="preserve">.</w:t>
      </w:r>
      <w:r>
        <w:t xml:space="preserve">020</w:t>
      </w:r>
      <w:r>
        <w:rPr/>
        <w:t xml:space="preserve"> and 2013 2nd sp.s. c 18 s 503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The superintendent of public instruction shall separately calculate and allocate moneys appropriated under RCW 28A.150.260 to school districts for each full-time equivalent student enrolled in an alternative learning experience course. The calculation shall be based on the estimated statewide annual average allocation per full-time equivalent student in grades nine through twelve in general education, excluding small high school enhancements, and including applicable rules and provisions of the omnibus appropriations act.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In addition to the allocation provided under subsection (1) of this section, if the course is a vocational alternative learning experience course, the allocated state funding shall also include vocational program funding enhancement, subject to RCW 28A.150.265.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a05ee26716f4862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1304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10a209a46b4d2c" /><Relationship Type="http://schemas.openxmlformats.org/officeDocument/2006/relationships/footer" Target="/word/footer1.xml" Id="R7a05ee26716f4862" /></Relationships>
</file>