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f5e1a142cf4679" /></Relationships>
</file>

<file path=word/document.xml><?xml version="1.0" encoding="utf-8"?>
<w:document xmlns:w="http://schemas.openxmlformats.org/wordprocessingml/2006/main">
  <w:body>
    <w:p>
      <w:r>
        <w:t>H-0088.1</w:t>
      </w:r>
    </w:p>
    <w:p>
      <w:pPr>
        <w:jc w:val="center"/>
      </w:pPr>
      <w:r>
        <w:t>_______________________________________________</w:t>
      </w:r>
    </w:p>
    <w:p/>
    <w:p>
      <w:pPr>
        <w:jc w:val="center"/>
      </w:pPr>
      <w:r>
        <w:rPr>
          <w:b/>
        </w:rPr>
        <w:t>HOUSE BILL 1319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Stonier, Appleton, Ryu, Senn, Valdez, Macri, Walen, and Pollet</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authority to regulate firearms; reenacting and amending RCW 9.41.300;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engagement and participation in government is an important component of our democratic system and that government is more effective when it gathers and considers public input when making policy decisions. The legislature further finds that in order to encourage public participation, the residents need to feel comfortable in exercising their rights to associate and speak freely their views on important and contentious public policy issues. The legislature further finds that the open carrying of firearms in public meetings of local governmental entities can result in intimidation and have a chilling effect on the willingness of residents to engage in public participation. The legislature intends to provide local jurisdictions with the authority to regulate the open carrying of firearms in public meetings of local governmental entities to foster an environment where all persons feel comfortable to engage and provide input in the governmental policy-making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r>
        <w:rPr>
          <w:u w:val="single"/>
        </w:rPr>
        <w:t xml:space="preserve">; and</w:t>
      </w:r>
    </w:p>
    <w:p>
      <w:pPr>
        <w:spacing w:before="0" w:after="0" w:line="408" w:lineRule="exact"/>
        <w:ind w:left="0" w:right="0" w:firstLine="576"/>
        <w:jc w:val="left"/>
      </w:pPr>
      <w:r>
        <w:rPr>
          <w:u w:val="single"/>
        </w:rPr>
        <w:t xml:space="preserve">(c) Restricting the open carrying of firearms at any public meeting of the governing authority of the city, town, county, or other municipality</w:t>
      </w:r>
      <w:r>
        <w:rPr/>
        <w:t xml:space="preserve">.</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f61fd79e695444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8f98c233447e1" /><Relationship Type="http://schemas.openxmlformats.org/officeDocument/2006/relationships/footer" Target="/word/footer1.xml" Id="Rf61fd79e69544476" /></Relationships>
</file>