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34a19c93845ca" /></Relationships>
</file>

<file path=word/document.xml><?xml version="1.0" encoding="utf-8"?>
<w:document xmlns:w="http://schemas.openxmlformats.org/wordprocessingml/2006/main">
  <w:body>
    <w:p>
      <w:r>
        <w:t>H-1215.2</w:t>
      </w:r>
    </w:p>
    <w:p>
      <w:pPr>
        <w:jc w:val="center"/>
      </w:pPr>
      <w:r>
        <w:t>_______________________________________________</w:t>
      </w:r>
    </w:p>
    <w:p/>
    <w:p>
      <w:pPr>
        <w:jc w:val="center"/>
      </w:pPr>
      <w:r>
        <w:rPr>
          <w:b/>
        </w:rPr>
        <w:t>SUBSTITUTE HOUSE BILL 1391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Senn, Dent, Eslick, Reeves, Pollet, and Ortiz-Self)</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the legislature intends to raise base subsidy rates for licensed child care centers and family homes to the seventy-fifth percentile of market rates and further incentivize the provision of care for infants and toddlers by considering rates for providers serving these young children. Further, the legislature intends to provide adequate funding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analyze consumer income and copay requirements in the working connections child care program and report recommendations to the governor and the legislature by December 1, 2019, for mitigating the "cliff effect" for child care subsidy consumers. Recommendations must consider:</w:t>
      </w:r>
    </w:p>
    <w:p>
      <w:pPr>
        <w:spacing w:before="0" w:after="0" w:line="408" w:lineRule="exact"/>
        <w:ind w:left="0" w:right="0" w:firstLine="576"/>
        <w:jc w:val="left"/>
      </w:pPr>
      <w:r>
        <w:rPr/>
        <w:t xml:space="preserve">(a)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(b) Whether or not increasing or decreasing the eligibility threshold for working connections child care would allow parents to grow professionally without losing affordable child care; and</w:t>
      </w:r>
    </w:p>
    <w:p>
      <w:pPr>
        <w:spacing w:before="0" w:after="0" w:line="408" w:lineRule="exact"/>
        <w:ind w:left="0" w:right="0" w:firstLine="576"/>
        <w:jc w:val="left"/>
      </w:pPr>
      <w:r>
        <w:rPr/>
        <w:t xml:space="preserve">(c) Whether further graduation of the copay scale would help alleviate the cliff that occurs at subsidy cutoff.</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examine short and long-term impacts on program participants, including high school graduation rates for up to two cohorts. When conducting the evaluation, the institute must consider, to the extent that data is available, the education levels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Eliminate rating scale barriers and weight early achievers points to incentivize providers to serve infants and toddlers;</w:t>
      </w:r>
    </w:p>
    <w:p>
      <w:pPr>
        <w:spacing w:before="0" w:after="0" w:line="408" w:lineRule="exact"/>
        <w:ind w:left="0" w:right="0" w:firstLine="576"/>
        <w:jc w:val="left"/>
      </w:pPr>
      <w:r>
        <w:rPr/>
        <w:t xml:space="preserve">(3) Remove barriers to timely approvals for one-on-one behavioral support assistants when requested by a provider;</w:t>
      </w:r>
    </w:p>
    <w:p>
      <w:pPr>
        <w:spacing w:before="0" w:after="0" w:line="408" w:lineRule="exact"/>
        <w:ind w:left="0" w:right="0" w:firstLine="576"/>
        <w:jc w:val="left"/>
      </w:pPr>
      <w:r>
        <w:rPr/>
        <w:t xml:space="preserve">(4) Prioritize reratings for providers rated at a level 2;</w:t>
      </w:r>
    </w:p>
    <w:p>
      <w:pPr>
        <w:spacing w:before="0" w:after="0" w:line="408" w:lineRule="exact"/>
        <w:ind w:left="0" w:right="0" w:firstLine="576"/>
        <w:jc w:val="left"/>
      </w:pPr>
      <w:r>
        <w:rPr/>
        <w:t xml:space="preserve">(5) Prioritize reratings for providers rated at a level 3 who are seeking to become early childhood education and assistance program providers;</w:t>
      </w:r>
    </w:p>
    <w:p>
      <w:pPr>
        <w:spacing w:before="0" w:after="0" w:line="408" w:lineRule="exact"/>
        <w:ind w:left="0" w:right="0" w:firstLine="576"/>
        <w:jc w:val="left"/>
      </w:pPr>
      <w:r>
        <w:rPr/>
        <w:t xml:space="preserve">(6) Require trauma-informed care training for raters and coaches; and</w:t>
      </w:r>
    </w:p>
    <w:p>
      <w:pPr>
        <w:spacing w:before="0" w:after="0" w:line="408" w:lineRule="exact"/>
        <w:ind w:left="0" w:right="0" w:firstLine="576"/>
        <w:jc w:val="left"/>
      </w:pPr>
      <w:r>
        <w:rPr/>
        <w:t xml:space="preserve">(7)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
      <w:pPr>
        <w:jc w:val="center"/>
      </w:pPr>
      <w:r>
        <w:rPr>
          <w:b/>
        </w:rPr>
        <w:t>--- END ---</w:t>
      </w:r>
    </w:p>
    <w:sectPr>
      <w:pgNumType w:start="1"/>
      <w:footerReference xmlns:r="http://schemas.openxmlformats.org/officeDocument/2006/relationships" r:id="R28ee5b82336841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2116f6705c437d" /><Relationship Type="http://schemas.openxmlformats.org/officeDocument/2006/relationships/footer" Target="/word/footer1.xml" Id="R28ee5b823368417c" /></Relationships>
</file>