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767a492d14a34" /></Relationships>
</file>

<file path=word/document.xml><?xml version="1.0" encoding="utf-8"?>
<w:document xmlns:w="http://schemas.openxmlformats.org/wordprocessingml/2006/main">
  <w:body>
    <w:p>
      <w:r>
        <w:t>H-1537.1</w:t>
      </w:r>
    </w:p>
    <w:p>
      <w:pPr>
        <w:jc w:val="center"/>
      </w:pPr>
      <w:r>
        <w:t>_______________________________________________</w:t>
      </w:r>
    </w:p>
    <w:p/>
    <w:p>
      <w:pPr>
        <w:jc w:val="center"/>
      </w:pPr>
      <w:r>
        <w:rPr>
          <w:b/>
        </w:rPr>
        <w:t>SUBSTITUTE HOUSE BILL 1434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Kilduff, Callan, Davis, Dolan, Fitzgibbon, Peterson, Ryu, Shewmake, Steele, Stonier, Sutherland, Kloba, Walen, Robinson, Stanford, Jinkins, Leavitt, and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13.32A.250, 13.32A.250, 13.32A.150, 13.34.165,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2021.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2021,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at-risk youth petition cases only under chapter 13.32A RCW and subject to the requirements under RCW 13.32A.250,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w:t>
      </w:r>
    </w:p>
    <w:p>
      <w:pPr>
        <w:spacing w:before="0" w:after="0" w:line="408" w:lineRule="exact"/>
        <w:ind w:left="0" w:right="0" w:firstLine="576"/>
        <w:jc w:val="left"/>
      </w:pPr>
      <w:r>
        <w:rPr>
          <w:u w:val="single"/>
        </w:rPr>
        <w:t xml:space="preserve">(iv) Parent teen mediation services and interventions offered by dispute resolution centers under chapter 7.75 RCW; or</w:t>
      </w:r>
    </w:p>
    <w:p>
      <w:pPr>
        <w:spacing w:before="0" w:after="0" w:line="408" w:lineRule="exact"/>
        <w:ind w:left="0" w:right="0" w:firstLine="576"/>
        <w:jc w:val="left"/>
      </w:pPr>
      <w:r>
        <w:rPr>
          <w:u w:val="single"/>
        </w:rPr>
        <w:t xml:space="preserve">(v)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(d)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t>((</w:t>
      </w:r>
      <w:r>
        <w:rPr>
          <w:strike/>
        </w:rPr>
        <w:t xml:space="preserve">in an at-risk youth proceeding</w:t>
      </w:r>
      <w:r>
        <w:t>))</w:t>
      </w:r>
      <w:r>
        <w:rPr/>
        <w:t xml:space="preserve"> to comply with an order entered under this chapter is a civil contempt of court as provided in RCW 7.21.030(2)</w:t>
      </w:r>
      <w:r>
        <w:t>((</w:t>
      </w:r>
      <w:r>
        <w:rPr>
          <w:strike/>
        </w:rPr>
        <w:t xml:space="preserve">(e), subject to the limitations of subsection (3) of this section</w:t>
      </w:r>
      <w:r>
        <w:t>))</w:t>
      </w:r>
      <w:r>
        <w:rPr/>
        <w:t xml:space="preserve">.</w:t>
      </w:r>
    </w:p>
    <w:p>
      <w:pPr>
        <w:spacing w:before="0" w:after="0" w:line="408" w:lineRule="exact"/>
        <w:ind w:left="0" w:right="0" w:firstLine="576"/>
        <w:jc w:val="left"/>
      </w:pPr>
      <w:r>
        <w:rPr/>
        <w:t xml:space="preserve">(3) </w:t>
      </w:r>
      <w:r>
        <w:t>((</w:t>
      </w:r>
      <w:r>
        <w:rPr>
          <w:strike/>
        </w:rPr>
        <w:t xml:space="preserve">For at-risk youth proceedings only:</w:t>
      </w:r>
    </w:p>
    <w:p>
      <w:pPr>
        <w:spacing w:before="0" w:after="0" w:line="408" w:lineRule="exact"/>
        <w:ind w:left="0" w:right="0" w:firstLine="576"/>
        <w:jc w:val="left"/>
      </w:pPr>
      <w:r>
        <w:rPr>
          <w:strike/>
        </w:rPr>
        <w:t xml:space="preserve">(a) If the child fails to comply with the court order, the court may impose:</w:t>
      </w:r>
    </w:p>
    <w:p>
      <w:pPr>
        <w:spacing w:before="0" w:after="0" w:line="408" w:lineRule="exact"/>
        <w:ind w:left="0" w:right="0" w:firstLine="576"/>
        <w:jc w:val="left"/>
      </w:pPr>
      <w:r>
        <w:rPr>
          <w:strike/>
        </w:rPr>
        <w:t xml:space="preserve">(i) Community restitution;</w:t>
      </w:r>
    </w:p>
    <w:p>
      <w:pPr>
        <w:spacing w:before="0" w:after="0" w:line="408" w:lineRule="exact"/>
        <w:ind w:left="0" w:right="0" w:firstLine="576"/>
        <w:jc w:val="left"/>
      </w:pPr>
      <w:r>
        <w:rPr>
          <w:strike/>
        </w:rPr>
        <w:t xml:space="preserve">(ii) Nonresidential programs with intensive wraparound services;</w:t>
      </w:r>
    </w:p>
    <w:p>
      <w:pPr>
        <w:spacing w:before="0" w:after="0" w:line="408" w:lineRule="exact"/>
        <w:ind w:left="0" w:right="0" w:firstLine="576"/>
        <w:jc w:val="left"/>
      </w:pPr>
      <w:r>
        <w:rPr>
          <w:strike/>
        </w:rPr>
        <w:t xml:space="preserve">(iii) A requirement that the child meet with a mentor for a specified number of times;</w:t>
      </w:r>
    </w:p>
    <w:p>
      <w:pPr>
        <w:spacing w:before="0" w:after="0" w:line="408" w:lineRule="exact"/>
        <w:ind w:left="0" w:right="0" w:firstLine="576"/>
        <w:jc w:val="left"/>
      </w:pPr>
      <w:r>
        <w:rPr>
          <w:strike/>
        </w:rPr>
        <w:t xml:space="preserve">(iv) Parent teen mediation services and interventions offered by dispute resolution centers under chapter 7.75 RCW; or</w:t>
      </w:r>
    </w:p>
    <w:p>
      <w:pPr>
        <w:spacing w:before="0" w:after="0" w:line="408" w:lineRule="exact"/>
        <w:ind w:left="0" w:right="0" w:firstLine="576"/>
        <w:jc w:val="left"/>
      </w:pPr>
      <w:r>
        <w:rPr>
          <w:strike/>
        </w:rPr>
        <w:t xml:space="preserve">(v) Other services and interventions that the court deems appropriate.</w:t>
      </w:r>
    </w:p>
    <w:p>
      <w:pPr>
        <w:spacing w:before="0" w:after="0" w:line="408" w:lineRule="exact"/>
        <w:ind w:left="0" w:right="0" w:firstLine="576"/>
        <w:jc w:val="left"/>
      </w:pPr>
      <w:r>
        <w:rPr>
          <w:strike/>
        </w:rPr>
        <w:t xml:space="preserve">(b) The court may impose remedial sanctions including a fine of up to one hundred dollars and confinement for up to seventy-two hours, or both for contempt of court under this section 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strike/>
        </w:rPr>
        <w:t xml:space="preserve">(c)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(d) A child involved in a child in need of services proceeding may not be placed in confinement under this section.</w:t>
      </w:r>
    </w:p>
    <w:p>
      <w:pPr>
        <w:spacing w:before="0" w:after="0" w:line="408" w:lineRule="exact"/>
        <w:ind w:left="0" w:right="0" w:firstLine="576"/>
        <w:jc w:val="left"/>
      </w:pPr>
      <w:r>
        <w:rPr>
          <w:strike/>
        </w:rPr>
        <w:t xml:space="preserve">(4)</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w:t>
      </w:r>
      <w:r>
        <w:t>((</w:t>
      </w:r>
      <w:r>
        <w:rPr>
          <w:strike/>
        </w:rPr>
        <w:t xml:space="preserve">or</w:t>
      </w:r>
    </w:p>
    <w:p>
      <w:pPr>
        <w:spacing w:before="0" w:after="0" w:line="408" w:lineRule="exact"/>
        <w:ind w:left="0" w:right="0" w:firstLine="576"/>
        <w:jc w:val="left"/>
      </w:pPr>
      <w:r>
        <w:rPr>
          <w:strike/>
        </w:rPr>
        <w:t xml:space="preserve">(iv)</w:t>
      </w:r>
      <w:r>
        <w:t>))</w:t>
      </w:r>
      <w:r>
        <w:rPr/>
        <w:t xml:space="preserve"> </w:t>
      </w:r>
      <w:r>
        <w:rPr>
          <w:u w:val="single"/>
        </w:rPr>
        <w:t xml:space="preserve">(d) Parent teen mediation services and interventions offered by dispute resolution centers under chapter 7.75 RCW; or</w:t>
      </w:r>
    </w:p>
    <w:p>
      <w:pPr>
        <w:spacing w:before="0" w:after="0" w:line="408" w:lineRule="exact"/>
        <w:ind w:left="0" w:right="0" w:firstLine="576"/>
        <w:jc w:val="left"/>
      </w:pPr>
      <w:r>
        <w:rPr>
          <w:u w:val="single"/>
        </w:rPr>
        <w:t xml:space="preserve">(e)</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Until July 1, 2022, the report must monitor trends in the use of at-risk youth petitions under chapter 13.32A RCW as well as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2021.</w:t>
      </w:r>
    </w:p>
    <w:p/>
    <w:p>
      <w:pPr>
        <w:jc w:val="center"/>
      </w:pPr>
      <w:r>
        <w:rPr>
          <w:b/>
        </w:rPr>
        <w:t>--- END ---</w:t>
      </w:r>
    </w:p>
    <w:sectPr>
      <w:pgNumType w:start="1"/>
      <w:footerReference xmlns:r="http://schemas.openxmlformats.org/officeDocument/2006/relationships" r:id="Rb6de5bdc9aec49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48878429741c1" /><Relationship Type="http://schemas.openxmlformats.org/officeDocument/2006/relationships/footer" Target="/word/footer1.xml" Id="Rb6de5bdc9aec49e5" /></Relationships>
</file>