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f401667344530" /></Relationships>
</file>

<file path=word/document.xml><?xml version="1.0" encoding="utf-8"?>
<w:document xmlns:w="http://schemas.openxmlformats.org/wordprocessingml/2006/main">
  <w:body>
    <w:p>
      <w:r>
        <w:t>H-0767.1</w:t>
      </w:r>
    </w:p>
    <w:p>
      <w:pPr>
        <w:jc w:val="center"/>
      </w:pPr>
      <w:r>
        <w:t>_______________________________________________</w:t>
      </w:r>
    </w:p>
    <w:p/>
    <w:p>
      <w:pPr>
        <w:jc w:val="center"/>
      </w:pPr>
      <w:r>
        <w:rPr>
          <w:b/>
        </w:rPr>
        <w:t>HOUSE BILL 1434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Eslick, Kilduff, Callan, Davis, Dolan, Fitzgibbon, Peterson, Ryu, Shewmake, Steele, Stonier, Sutherland, Kloba, Walen, Robinson, Stanford, Jinkins, Leavitt, and Ormsby</w:t>
      </w:r>
    </w:p>
    <w:p/>
    <w:p>
      <w:r>
        <w:rPr>
          <w:t xml:space="preserve">Read first time 01/22/19.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13.32A.250, 13.32A.250, 13.32A.040, 13.32A.150, 13.34.165,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2021.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2021,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w:t>
      </w:r>
      <w:r>
        <w:t>))</w:t>
      </w:r>
      <w:r>
        <w:rPr/>
        <w:t xml:space="preserve"> </w:t>
      </w:r>
      <w:r>
        <w:rPr>
          <w:u w:val="single"/>
        </w:rPr>
        <w:t xml:space="preserve">three</w:t>
      </w:r>
      <w:r>
        <w:rPr/>
        <w:t xml:space="preserve">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at-risk youth petition cases only under chapter 13.32A RCW and subject to the requirements under RCW 13.32A.250, commitment to juvenile detention for a period of time not to exceed three days.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w:t>
      </w:r>
      <w:r>
        <w:t>))</w:t>
      </w:r>
      <w:r>
        <w:rPr/>
        <w:t xml:space="preserve"> </w:t>
      </w:r>
      <w:r>
        <w:rPr>
          <w:u w:val="single"/>
        </w:rPr>
        <w:t xml:space="preserve">three</w:t>
      </w:r>
      <w:r>
        <w:rPr/>
        <w:t xml:space="preserve"> days, or both for contempt of court under this section </w:t>
      </w:r>
      <w:r>
        <w:rPr>
          <w:u w:val="single"/>
        </w:rPr>
        <w:t xml:space="preserve">if (i) one of the less restrictive alternatives under (a) of this subsection has been attempted and another technical violation of the order has occurred, or (ii) the court issues a formal finding that none of the less restrictive alternatives is available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(d)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t>((</w:t>
      </w:r>
      <w:r>
        <w:rPr>
          <w:strike/>
        </w:rPr>
        <w:t xml:space="preserve">in an at-risk youth proceeding</w:t>
      </w:r>
      <w:r>
        <w:t>))</w:t>
      </w:r>
      <w:r>
        <w:rPr/>
        <w:t xml:space="preserve"> to comply with an order entered under this chapter is a civil contempt of court as provided in RCW 7.21.030(2)</w:t>
      </w:r>
      <w:r>
        <w:t>((</w:t>
      </w:r>
      <w:r>
        <w:rPr>
          <w:strike/>
        </w:rPr>
        <w:t xml:space="preserve">(e), subject to the limitations of subsection (3) of this section</w:t>
      </w:r>
      <w:r>
        <w:t>))</w:t>
      </w:r>
      <w:r>
        <w:rPr/>
        <w:t xml:space="preserve">.</w:t>
      </w:r>
    </w:p>
    <w:p>
      <w:pPr>
        <w:spacing w:before="0" w:after="0" w:line="408" w:lineRule="exact"/>
        <w:ind w:left="0" w:right="0" w:firstLine="576"/>
        <w:jc w:val="left"/>
      </w:pPr>
      <w:r>
        <w:rPr/>
        <w:t xml:space="preserve">(3) </w:t>
      </w:r>
      <w:r>
        <w:t>((</w:t>
      </w:r>
      <w:r>
        <w:rPr>
          <w:strike/>
        </w:rPr>
        <w:t xml:space="preserve">For at-risk youth proceedings only:</w:t>
      </w:r>
    </w:p>
    <w:p>
      <w:pPr>
        <w:spacing w:before="0" w:after="0" w:line="408" w:lineRule="exact"/>
        <w:ind w:left="0" w:right="0" w:firstLine="576"/>
        <w:jc w:val="left"/>
      </w:pPr>
      <w:r>
        <w:rPr>
          <w:strike/>
        </w:rPr>
        <w:t xml:space="preserve">(a) If the child fails to comply with the court order, the court may impose:</w:t>
      </w:r>
    </w:p>
    <w:p>
      <w:pPr>
        <w:spacing w:before="0" w:after="0" w:line="408" w:lineRule="exact"/>
        <w:ind w:left="0" w:right="0" w:firstLine="576"/>
        <w:jc w:val="left"/>
      </w:pPr>
      <w:r>
        <w:rPr>
          <w:strike/>
        </w:rPr>
        <w:t xml:space="preserve">(i) Community restitution;</w:t>
      </w:r>
    </w:p>
    <w:p>
      <w:pPr>
        <w:spacing w:before="0" w:after="0" w:line="408" w:lineRule="exact"/>
        <w:ind w:left="0" w:right="0" w:firstLine="576"/>
        <w:jc w:val="left"/>
      </w:pPr>
      <w:r>
        <w:rPr>
          <w:strike/>
        </w:rPr>
        <w:t xml:space="preserve">(ii) Nonresidential programs with intensive wraparound services;</w:t>
      </w:r>
    </w:p>
    <w:p>
      <w:pPr>
        <w:spacing w:before="0" w:after="0" w:line="408" w:lineRule="exact"/>
        <w:ind w:left="0" w:right="0" w:firstLine="576"/>
        <w:jc w:val="left"/>
      </w:pPr>
      <w:r>
        <w:rPr>
          <w:strike/>
        </w:rPr>
        <w:t xml:space="preserve">(iii) A requirement that the child meet with a mentor for a specified number of times; or</w:t>
      </w:r>
    </w:p>
    <w:p>
      <w:pPr>
        <w:spacing w:before="0" w:after="0" w:line="408" w:lineRule="exact"/>
        <w:ind w:left="0" w:right="0" w:firstLine="576"/>
        <w:jc w:val="left"/>
      </w:pPr>
      <w:r>
        <w:rPr>
          <w:strike/>
        </w:rPr>
        <w:t xml:space="preserve">(iv) Other services and interventions that the court deems appropriate.</w:t>
      </w:r>
    </w:p>
    <w:p>
      <w:pPr>
        <w:spacing w:before="0" w:after="0" w:line="408" w:lineRule="exact"/>
        <w:ind w:left="0" w:right="0" w:firstLine="576"/>
        <w:jc w:val="left"/>
      </w:pPr>
      <w:r>
        <w:rPr>
          <w:strike/>
        </w:rPr>
        <w:t xml:space="preserve">(b) The court may impose remedial sanctions including a fine of up to one hundred dollars and confinement for up to three days, or both for contempt of court under this section if (i) one of the less restrictive alternatives under (a) of this subsection has been attempted and another technical violation of the order has occurred, or (ii) the court issues a formal finding that none of the less restrictive alternatives is available.</w:t>
      </w:r>
    </w:p>
    <w:p>
      <w:pPr>
        <w:spacing w:before="0" w:after="0" w:line="408" w:lineRule="exact"/>
        <w:ind w:left="0" w:right="0" w:firstLine="576"/>
        <w:jc w:val="left"/>
      </w:pPr>
      <w:r>
        <w:rPr>
          <w:strike/>
        </w:rPr>
        <w:t xml:space="preserve">(c)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(d) A child involved in a child in need of services proceeding may not be placed in confinement under this section.</w:t>
      </w:r>
    </w:p>
    <w:p>
      <w:pPr>
        <w:spacing w:before="0" w:after="0" w:line="408" w:lineRule="exact"/>
        <w:ind w:left="0" w:right="0" w:firstLine="576"/>
        <w:jc w:val="left"/>
      </w:pPr>
      <w:r>
        <w:rPr>
          <w:strike/>
        </w:rPr>
        <w:t xml:space="preserve">(4)</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rPr>
          <w:u w:val="single"/>
        </w:rPr>
        <w:t xml:space="preserve">(1) If requested by the family, the department must provide f</w:t>
      </w:r>
      <w:r>
        <w:rPr/>
        <w:t xml:space="preserve">amilies who are in conflict or who are experiencing problems with at-risk youth or a child who may be in need of services </w:t>
      </w:r>
      <w:r>
        <w:t>((</w:t>
      </w:r>
      <w:r>
        <w:rPr>
          <w:strike/>
        </w:rPr>
        <w:t xml:space="preserve">may request</w:t>
      </w:r>
      <w:r>
        <w:t>))</w:t>
      </w:r>
      <w:r>
        <w:rPr/>
        <w:t xml:space="preserve"> </w:t>
      </w:r>
      <w:r>
        <w:rPr>
          <w:u w:val="single"/>
        </w:rPr>
        <w:t xml:space="preserve">with</w:t>
      </w:r>
      <w:r>
        <w:rPr/>
        <w:t xml:space="preserve"> family reconciliation services</w:t>
      </w:r>
      <w:r>
        <w:rPr>
          <w:u w:val="single"/>
        </w:rPr>
        <w:t xml:space="preserve">, or its successor program,</w:t>
      </w:r>
      <w:r>
        <w:rPr/>
        <w:t xml:space="preserve"> from the department </w:t>
      </w:r>
      <w:r>
        <w:rPr>
          <w:u w:val="single"/>
        </w:rPr>
        <w:t xml:space="preserve">before or once a petition is filed. The department should provide these services in a timely manner once requested by the family</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Family reconciliation services shall be designed to develop skills and supports within families to resolve problems related to at-risk youth, children in need of services, or family conflicts. These services may include</w:t>
      </w:r>
      <w:r>
        <w:rPr>
          <w:u w:val="single"/>
        </w:rPr>
        <w:t xml:space="preserve">,</w:t>
      </w:r>
      <w:r>
        <w:rPr/>
        <w:t xml:space="preserve"> but are not limited to</w:t>
      </w:r>
      <w:r>
        <w:rPr>
          <w:u w:val="single"/>
        </w:rPr>
        <w:t xml:space="preserve">,</w:t>
      </w:r>
      <w:r>
        <w:rPr/>
        <w:t xml:space="preserve">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p>
    <w:p>
      <w:pPr>
        <w:spacing w:before="0" w:after="0" w:line="408" w:lineRule="exact"/>
        <w:ind w:left="0" w:right="0" w:firstLine="576"/>
        <w:jc w:val="left"/>
      </w:pPr>
      <w:r>
        <w:rPr>
          <w:u w:val="single"/>
        </w:rPr>
        <w:t xml:space="preserve">(2) The department must report to the appropriate committees of the legislature annually, beginning by December 31, 2019, on the use of family reconciliation services or its successor program, any significant reductions or outcomes within the program, and any recommendations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The order may be entered ex parte without prior notice to the child or other parties. </w:t>
      </w:r>
      <w:r>
        <w:t>((</w:t>
      </w:r>
      <w:r>
        <w:rPr>
          <w:strike/>
        </w:rPr>
        <w:t xml:space="preserve">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Until July 1, 2022, the report must monitor trends in the use of at-risk youth petitions under chapter 13.32A RCW as well as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2021.</w:t>
      </w:r>
    </w:p>
    <w:p/>
    <w:p>
      <w:pPr>
        <w:jc w:val="center"/>
      </w:pPr>
      <w:r>
        <w:rPr>
          <w:b/>
        </w:rPr>
        <w:t>--- END ---</w:t>
      </w:r>
    </w:p>
    <w:sectPr>
      <w:pgNumType w:start="1"/>
      <w:footerReference xmlns:r="http://schemas.openxmlformats.org/officeDocument/2006/relationships" r:id="Rfb7dab28119841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ab441ca3454176" /><Relationship Type="http://schemas.openxmlformats.org/officeDocument/2006/relationships/footer" Target="/word/footer1.xml" Id="Rfb7dab2811984126" /></Relationships>
</file>