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009e3c7da4e33" /></Relationships>
</file>

<file path=word/document.xml><?xml version="1.0" encoding="utf-8"?>
<w:document xmlns:w="http://schemas.openxmlformats.org/wordprocessingml/2006/main">
  <w:body>
    <w:p>
      <w:r>
        <w:t>H-0847.1</w:t>
      </w:r>
    </w:p>
    <w:p>
      <w:pPr>
        <w:jc w:val="center"/>
      </w:pPr>
      <w:r>
        <w:t>_______________________________________________</w:t>
      </w:r>
    </w:p>
    <w:p/>
    <w:p>
      <w:pPr>
        <w:jc w:val="center"/>
      </w:pPr>
      <w:r>
        <w:rPr>
          <w:b/>
        </w:rPr>
        <w:t>HOUSE BILL 1510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Riccelli, Walsh, Young, and McCaslin</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governing the use of narrow track vehicles; amending RCW 46.04.320, 46.61.165, 46.61.184, 46.61.575, 46.61.608, and 47.52.025;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"Narrow track vehicle" means a fully enclosed motor vehicle with three or four wheels that does not exceed forty inches in width. A "narrow track vehicle" that does not exceed one hundred two inches in length is classified as a "short narrow track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t xml:space="preserve">"Motor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w:t>
      </w:r>
      <w:r>
        <w:rPr>
          <w:u w:val="single"/>
        </w:rPr>
        <w:t xml:space="preserve">"Motor vehicle" includes a narrow track vehicle as defined in section 1 of this act.</w:t>
      </w:r>
      <w:r>
        <w:rPr/>
        <w:t xml:space="preserve"> An electric personal assistive mobility device is not considered a motor vehicle. A power wheelchair is not considered a motor vehicle. A golf cart is not considered a motor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w:t>
      </w:r>
      <w:r>
        <w:rPr>
          <w:u w:val="single"/>
        </w:rPr>
        <w:t xml:space="preserve">narrow track vehicles; (d)</w:t>
      </w:r>
      <w:r>
        <w:rPr/>
        <w:t xml:space="preserve"> private motor vehicles carrying no fewer than a specified number of passengers;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2015 c 32 s 1 are each amended to read as follows:</w:t>
      </w:r>
    </w:p>
    <w:p>
      <w:pPr>
        <w:spacing w:before="0" w:after="0" w:line="408" w:lineRule="exact"/>
        <w:ind w:left="0" w:right="0" w:firstLine="576"/>
        <w:jc w:val="left"/>
      </w:pPr>
      <w:r>
        <w:rPr/>
        <w:t xml:space="preserve">Notwithstanding any provision of law to the contrary, the operator of a bicycle, moped, </w:t>
      </w:r>
      <w:r>
        <w:t>((</w:t>
      </w:r>
      <w:r>
        <w:rPr>
          <w:strike/>
        </w:rPr>
        <w:t xml:space="preserve">or</w:t>
      </w:r>
      <w:r>
        <w:t>))</w:t>
      </w:r>
      <w:r>
        <w:rPr/>
        <w:t xml:space="preserve"> street legal motorcycle</w:t>
      </w:r>
      <w:r>
        <w:rPr>
          <w:u w:val="single"/>
        </w:rPr>
        <w:t xml:space="preserve">, or narrow track vehicle</w:t>
      </w:r>
      <w:r>
        <w:rPr/>
        <w:t xml:space="preserve"> approaching an intersection, including a left turn intersection, that is controlled by a triggered traffic control signal using a vehicle detection device that is inoperative due to the size or composition of the bicycle, moped, </w:t>
      </w:r>
      <w:r>
        <w:t>((</w:t>
      </w:r>
      <w:r>
        <w:rPr>
          <w:strike/>
        </w:rPr>
        <w:t xml:space="preserve">or</w:t>
      </w:r>
      <w:r>
        <w:t>))</w:t>
      </w:r>
      <w:r>
        <w:rPr/>
        <w:t xml:space="preserve"> street legal motorcycle</w:t>
      </w:r>
      <w:r>
        <w:rPr>
          <w:u w:val="single"/>
        </w:rPr>
        <w:t xml:space="preserve">, or narrow track vehicle</w:t>
      </w:r>
      <w:r>
        <w:rPr/>
        <w:t xml:space="preserv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operator of a bicycle, moped, </w:t>
      </w:r>
      <w:r>
        <w:t>((</w:t>
      </w:r>
      <w:r>
        <w:rPr>
          <w:strike/>
        </w:rPr>
        <w:t xml:space="preserve">or</w:t>
      </w:r>
      <w:r>
        <w:t>))</w:t>
      </w:r>
      <w:r>
        <w:rPr/>
        <w:t xml:space="preserve"> motorcycle</w:t>
      </w:r>
      <w:r>
        <w:rPr>
          <w:u w:val="single"/>
        </w:rPr>
        <w:t xml:space="preserve">, or narrow track vehicle</w:t>
      </w:r>
      <w:r>
        <w:rPr/>
        <w:t xml:space="preserve"> proceeded under the belief that a traffic control signal used a vehicle detection device or was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when the signal did not use a vehicle detection device or that any such device was not in fact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For purposes of this section, "bicycle" includes a bicycle, as defined in RCW 46.04.071, and an electric-assisted bicycle, as defined in RCW 46.04.169.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p>
    <w:p>
      <w:pPr>
        <w:spacing w:before="0" w:after="0" w:line="408" w:lineRule="exact"/>
        <w:ind w:left="0" w:right="0" w:firstLine="576"/>
        <w:jc w:val="left"/>
      </w:pPr>
      <w:r>
        <w:rPr/>
        <w:t xml:space="preserve">(4)</w:t>
      </w:r>
      <w:r>
        <w:rPr>
          <w:u w:val="single"/>
        </w:rPr>
        <w:t xml:space="preserve">(a) When local authorities permit angle parking of motorcycles on a roadway, as provided in subsection (3) of this section, a short narrow track vehicle, as defined in section 1 of this act, may also park in the angled manner specified for motorcycles, except when a short narrow track vehicle is specifically prohibited from parking in this manner by local ordinance.</w:t>
      </w:r>
    </w:p>
    <w:p>
      <w:pPr>
        <w:spacing w:before="0" w:after="0" w:line="408" w:lineRule="exact"/>
        <w:ind w:left="0" w:right="0" w:firstLine="576"/>
        <w:jc w:val="left"/>
      </w:pPr>
      <w:r>
        <w:rPr>
          <w:u w:val="single"/>
        </w:rPr>
        <w:t xml:space="preserve">(b) A short narrow track vehicle, as defined in section 1 of this act, may park in parking stalls restricted to motorcycle parking only, except when a short narrow track vehicle is specifically prohibited from parking in these parking stalls by local ordinance.</w:t>
      </w:r>
    </w:p>
    <w:p>
      <w:pPr>
        <w:spacing w:before="0" w:after="0" w:line="408" w:lineRule="exact"/>
        <w:ind w:left="0" w:right="0" w:firstLine="576"/>
        <w:jc w:val="left"/>
      </w:pP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w:t>
      </w:r>
      <w:r>
        <w:rPr>
          <w:u w:val="single"/>
        </w:rPr>
        <w:t xml:space="preserve">and narrow track vehicles</w:t>
      </w:r>
      <w:r>
        <w:rPr/>
        <w:t xml:space="preserve"> are entitled to full use of a lane and no motor vehicle shall be driven in such a manner as to deprive any motorcycle </w:t>
      </w:r>
      <w:r>
        <w:rPr>
          <w:u w:val="single"/>
        </w:rPr>
        <w:t xml:space="preserve">or narrow track vehicle</w:t>
      </w:r>
      <w:r>
        <w:rPr/>
        <w:t xml:space="preserve"> of the full use of a lane. This subsection shall not apply to motorcycles </w:t>
      </w:r>
      <w:r>
        <w:rPr>
          <w:u w:val="single"/>
        </w:rPr>
        <w:t xml:space="preserve">or narrow track vehicles</w:t>
      </w:r>
      <w:r>
        <w:rPr/>
        <w:t xml:space="preserve"> operated two abreast in a single lane.</w:t>
      </w:r>
    </w:p>
    <w:p>
      <w:pPr>
        <w:spacing w:before="0" w:after="0" w:line="408" w:lineRule="exact"/>
        <w:ind w:left="0" w:right="0" w:firstLine="576"/>
        <w:jc w:val="left"/>
      </w:pPr>
      <w:r>
        <w:rPr/>
        <w:t xml:space="preserve">(2) The operator of a motorcycle </w:t>
      </w:r>
      <w:r>
        <w:rPr>
          <w:u w:val="single"/>
        </w:rPr>
        <w:t xml:space="preserve">or narrow track vehicle</w:t>
      </w:r>
      <w:r>
        <w:rPr/>
        <w:t xml:space="preserve"> shall not overtake and pass in the same lane occupied by the vehicle being overtaken. However, this subsection shall not apply when the operator of a motorcycle </w:t>
      </w:r>
      <w:r>
        <w:rPr>
          <w:u w:val="single"/>
        </w:rPr>
        <w:t xml:space="preserve">or narrow track vehicle</w:t>
      </w:r>
      <w:r>
        <w:rPr/>
        <w:t xml:space="preserv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w:t>
      </w:r>
      <w:r>
        <w:rPr>
          <w:u w:val="single"/>
        </w:rPr>
        <w:t xml:space="preserve">or narrow track vehicle</w:t>
      </w:r>
      <w:r>
        <w:rPr/>
        <w:t xml:space="preserve"> between lanes of traffic or between adjacent lines or rows of vehicles.</w:t>
      </w:r>
    </w:p>
    <w:p>
      <w:pPr>
        <w:spacing w:before="0" w:after="0" w:line="408" w:lineRule="exact"/>
        <w:ind w:left="0" w:right="0" w:firstLine="576"/>
        <w:jc w:val="left"/>
      </w:pPr>
      <w:r>
        <w:rPr/>
        <w:t xml:space="preserve">(4) Motorcycles </w:t>
      </w:r>
      <w:r>
        <w:rPr>
          <w:u w:val="single"/>
        </w:rPr>
        <w:t xml:space="preserve">and narrow track vehicles</w:t>
      </w:r>
      <w:r>
        <w:rPr/>
        <w:t xml:space="preserve">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w:t>
      </w:r>
      <w:r>
        <w:rPr>
          <w:u w:val="single"/>
        </w:rPr>
        <w:t xml:space="preserve">narrow track vehicles, (e)</w:t>
      </w:r>
      <w:r>
        <w:rPr/>
        <w:t xml:space="preserve"> private motor vehicles carrying not less than a specified number of passengers,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condition precedent to the allocation of federal funds to the state, the conflicting part of this act is inoperative solely to the extent of the conflict and the findings or determination do not affect the operation of the remainder of this act.</w:t>
      </w:r>
    </w:p>
    <w:p/>
    <w:p>
      <w:pPr>
        <w:jc w:val="center"/>
      </w:pPr>
      <w:r>
        <w:rPr>
          <w:b/>
        </w:rPr>
        <w:t>--- END ---</w:t>
      </w:r>
    </w:p>
    <w:sectPr>
      <w:pgNumType w:start="1"/>
      <w:footerReference xmlns:r="http://schemas.openxmlformats.org/officeDocument/2006/relationships" r:id="R4d73914dee6349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db4a03d55482a" /><Relationship Type="http://schemas.openxmlformats.org/officeDocument/2006/relationships/footer" Target="/word/footer1.xml" Id="R4d73914dee63499e" /></Relationships>
</file>