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b3f8954ddb4804" /></Relationships>
</file>

<file path=word/document.xml><?xml version="1.0" encoding="utf-8"?>
<w:document xmlns:w="http://schemas.openxmlformats.org/wordprocessingml/2006/main">
  <w:body>
    <w:p>
      <w:r>
        <w:t>H-0943.1</w:t>
      </w:r>
    </w:p>
    <w:p>
      <w:pPr>
        <w:jc w:val="center"/>
      </w:pPr>
      <w:r>
        <w:t>_______________________________________________</w:t>
      </w:r>
    </w:p>
    <w:p/>
    <w:p>
      <w:pPr>
        <w:jc w:val="center"/>
      </w:pPr>
      <w:r>
        <w:rPr>
          <w:b/>
        </w:rPr>
        <w:t>HOUSE BILL 1511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Klippert</w:t>
      </w:r>
    </w:p>
    <w:p/>
    <w:p>
      <w:r>
        <w:rPr>
          <w:t xml:space="preserve">Read first time 01/23/19.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firearm safety training requirements applicable to the sale or transfer of semiautomatic assault rifles; and amending RCW 9.41.090.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(Initiative Measure No. 1639)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(i) the chief of police or the sheriff of the jurisdiction in which the purchaser resides that the purchaser is eligible to possess a pistol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 In addition to the other requirements of this chapter, no dealer may deliver a semiautomatic assault rifle to the purchaser thereof until:</w:t>
      </w:r>
    </w:p>
    <w:p>
      <w:pPr>
        <w:spacing w:before="0" w:after="0" w:line="408" w:lineRule="exact"/>
        <w:ind w:left="0" w:right="0" w:firstLine="576"/>
        <w:jc w:val="left"/>
      </w:pPr>
      <w:r>
        <w:rPr/>
        <w:t xml:space="preserve">(a)</w:t>
      </w:r>
      <w:r>
        <w:rPr>
          <w:u w:val="single"/>
        </w:rPr>
        <w:t xml:space="preserve">(i) Except as provided in (a)(ii) of this subsection (2)(a), t</w:t>
      </w:r>
      <w:r>
        <w:rPr/>
        <w:t xml:space="preserve">he purchaser provides proof that he or she has completed </w:t>
      </w:r>
      <w:r>
        <w:t>((</w:t>
      </w:r>
      <w:r>
        <w:rPr>
          <w:strike/>
        </w:rPr>
        <w:t xml:space="preserve">a recognized</w:t>
      </w:r>
      <w:r>
        <w:t>))</w:t>
      </w:r>
      <w:r>
        <w:rPr/>
        <w:t xml:space="preserve"> firearm safety training </w:t>
      </w:r>
      <w:r>
        <w:t>((</w:t>
      </w:r>
      <w:r>
        <w:rPr>
          <w:strike/>
        </w:rPr>
        <w:t xml:space="preserve">program</w:t>
      </w:r>
      <w:r>
        <w:t>))</w:t>
      </w:r>
      <w:r>
        <w:rPr/>
        <w:t xml:space="preserve"> within the last five years that, at a minimum, includes instruction 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Basic firearms safety </w:t>
      </w:r>
      <w:r>
        <w:t>((</w:t>
      </w:r>
      <w:r>
        <w:rPr>
          <w:strike/>
        </w:rPr>
        <w:t xml:space="preserve">rules</w:t>
      </w:r>
      <w:r>
        <w:t>))</w:t>
      </w:r>
      <w:r>
        <w:rPr/>
        <w:t xml:space="preserve">;</w:t>
      </w:r>
    </w:p>
    <w:p>
      <w:pPr>
        <w:spacing w:before="0" w:after="0" w:line="408" w:lineRule="exact"/>
        <w:ind w:left="0" w:right="0" w:firstLine="576"/>
        <w:jc w:val="left"/>
      </w:pPr>
      <w:r>
        <w:rPr/>
        <w:t xml:space="preserve">(ii)</w:t>
      </w:r>
      <w:r>
        <w:rPr>
          <w:u w:val="single"/>
        </w:rPr>
        <w:t xml:space="preserve">(B)</w:t>
      </w:r>
      <w:r>
        <w:rPr/>
        <w:t xml:space="preserve"> Firearm</w:t>
      </w:r>
      <w:r>
        <w:t>((</w:t>
      </w:r>
      <w:r>
        <w:rPr>
          <w:strike/>
        </w:rPr>
        <w:t xml:space="preserve">s</w:t>
      </w:r>
      <w:r>
        <w:t>))</w:t>
      </w:r>
      <w:r>
        <w:rPr/>
        <w:t xml:space="preserve"> </w:t>
      </w:r>
      <w:r>
        <w:rPr>
          <w:u w:val="single"/>
        </w:rPr>
        <w:t xml:space="preserve">safety</w:t>
      </w:r>
      <w:r>
        <w:rPr/>
        <w:t xml:space="preserve"> and children, including secure gun storage </w:t>
      </w:r>
      <w:r>
        <w:t>((</w:t>
      </w:r>
      <w:r>
        <w:rPr>
          <w:strike/>
        </w:rPr>
        <w:t xml:space="preserve">and talking to children about gun safety;</w:t>
      </w:r>
    </w:p>
    <w:p>
      <w:pPr>
        <w:spacing w:before="0" w:after="0" w:line="408" w:lineRule="exact"/>
        <w:ind w:left="0" w:right="0" w:firstLine="576"/>
        <w:jc w:val="left"/>
      </w:pPr>
      <w:r>
        <w:rPr>
          <w:strike/>
        </w:rPr>
        <w:t xml:space="preserve">(iii) Firearms and suicide prevention</w:t>
      </w:r>
      <w:r>
        <w:t>))</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(C)</w:t>
      </w:r>
      <w:r>
        <w:rPr/>
        <w:t xml:space="preserve"> Secure gun storage to prevent unauthorized access and use; </w:t>
      </w:r>
      <w:r>
        <w:rPr>
          <w:u w:val="single"/>
        </w:rPr>
        <w:t xml:space="preserve">and</w:t>
      </w:r>
    </w:p>
    <w:p>
      <w:pPr>
        <w:spacing w:before="0" w:after="0" w:line="408" w:lineRule="exact"/>
        <w:ind w:left="0" w:right="0" w:firstLine="576"/>
        <w:jc w:val="left"/>
      </w:pPr>
      <w:r>
        <w:t>((</w:t>
      </w:r>
      <w:r>
        <w:rPr>
          <w:strike/>
        </w:rPr>
        <w:t xml:space="preserve">(v) Safe handling of firearms; and</w:t>
      </w:r>
    </w:p>
    <w:p>
      <w:pPr>
        <w:spacing w:before="0" w:after="0" w:line="408" w:lineRule="exact"/>
        <w:ind w:left="0" w:right="0" w:firstLine="576"/>
        <w:jc w:val="left"/>
      </w:pPr>
      <w:r>
        <w:rPr>
          <w:strike/>
        </w:rPr>
        <w:t xml:space="preserve">(vi)</w:t>
      </w:r>
      <w:r>
        <w:t>))</w:t>
      </w:r>
      <w:r>
        <w:rPr/>
        <w:t xml:space="preserve"> </w:t>
      </w:r>
      <w:r>
        <w:rPr>
          <w:u w:val="single"/>
        </w:rPr>
        <w:t xml:space="preserve">(D)</w:t>
      </w:r>
      <w:r>
        <w:rPr/>
        <w:t xml:space="preserve"> State and federal firearms laws, including prohibited firearms transfers.</w:t>
      </w:r>
    </w:p>
    <w:p>
      <w:pPr>
        <w:spacing w:before="0" w:after="0" w:line="408" w:lineRule="exact"/>
        <w:ind w:left="0" w:right="0" w:firstLine="576"/>
        <w:jc w:val="left"/>
      </w:pPr>
      <w:r>
        <w:rPr/>
        <w:t xml:space="preserve">The training must be </w:t>
      </w:r>
      <w:r>
        <w:t>((</w:t>
      </w:r>
      <w:r>
        <w:rPr>
          <w:strike/>
        </w:rPr>
        <w:t xml:space="preserve">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w:t>
      </w:r>
      <w:r>
        <w:t>))</w:t>
      </w:r>
      <w:r>
        <w:rPr/>
        <w:t xml:space="preserve"> </w:t>
      </w:r>
      <w:r>
        <w:rPr>
          <w:u w:val="single"/>
        </w:rPr>
        <w:t xml:space="preserve">provided by a business or organization that is licensed and insured, or bonded, to provide such training, and issues proof of training in the way of a certificate that states the student name, training date, and authorizing signature of the training provider.</w:t>
      </w:r>
    </w:p>
    <w:p>
      <w:pPr>
        <w:spacing w:before="0" w:after="0" w:line="408" w:lineRule="exact"/>
        <w:ind w:left="0" w:right="0" w:firstLine="576"/>
        <w:jc w:val="left"/>
      </w:pPr>
      <w:r>
        <w:rPr>
          <w:u w:val="single"/>
        </w:rPr>
        <w:t xml:space="preserve">(ii) The firearm safety training requirement in this subsection (2)(a) does not apply to sales or transfers of semiautomatic assault rifles to law enforcement officers or retired law enforcement officers who provide proof to the dealer that they are or were employed as commissioned law enforcement officers of a federal, state, county, or municipal law enforcement agency</w:t>
      </w:r>
      <w:r>
        <w:rPr/>
        <w:t xml:space="preserve">; and</w:t>
      </w:r>
    </w:p>
    <w:p>
      <w:pPr>
        <w:spacing w:before="0" w:after="0" w:line="408" w:lineRule="exact"/>
        <w:ind w:left="0" w:right="0" w:firstLine="576"/>
        <w:jc w:val="left"/>
      </w:pPr>
      <w:r>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(3)(a) Except as provided in (b) of this subsection, in determining whether the purchaser meets the requirements of RCW 9.41.040, the chief of police or sheriff, or the designee of either, shall check with the national crime information center, including the national instant criminal background check system, provided for by the Brady handgun violence prevention act (18 U.S.C. Sec. 921 et seq.), the Washington state patrol electronic database, the health care authority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t xml:space="preserve">(6)(a) At the time of applying for the purchase of a pistol or semiautomatic assault rifle, the purchaser shall sign in triplicate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pistol or semiautomatic assault rifle including the make, model, caliber and manufacturer's number if available at the time of applying for the purchase of a pistol or semiautomatic assault rifle. If the manufacturer's number is not available at the time of applying for the purchase of a pistol or semiautomatic assault rifle, the application may be processed, but delivery of the pistol or semiautomatic assault rifle to the purchaser may not occur unless the manufacturer's number is recorded on the application by the dealer and transmitted to the chief of police of the municipality or the sheriff of the county in which the purchaser resides, or the state pursuant to subsection (3)(b) of this section;</w:t>
      </w:r>
    </w:p>
    <w:p>
      <w:pPr>
        <w:spacing w:before="0" w:after="0" w:line="408" w:lineRule="exact"/>
        <w:ind w:left="0" w:right="0" w:firstLine="576"/>
        <w:jc w:val="left"/>
      </w:pPr>
      <w:r>
        <w:rPr/>
        <w:t xml:space="preserve">(v) A statement that the purchaser is eligible to purchase and possess a firearm under state and federal law; and</w:t>
      </w:r>
    </w:p>
    <w:p>
      <w:pPr>
        <w:spacing w:before="0" w:after="0" w:line="408" w:lineRule="exact"/>
        <w:ind w:left="0" w:right="0" w:firstLine="576"/>
        <w:jc w:val="left"/>
      </w:pPr>
      <w:r>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p>
    <w:p>
      <w:pPr>
        <w:spacing w:before="0" w:after="0" w:line="408" w:lineRule="exact"/>
        <w:ind w:left="0" w:right="0" w:firstLine="576"/>
        <w:jc w:val="left"/>
      </w:pPr>
      <w:r>
        <w:rPr/>
        <w:t xml:space="preserve">(b) The application shall contain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 The triplicate shall be retained by the dealer for six years. The dealer shall deliver the pistol or semiautomatic assault rifle to the purchaser following the period of time specified in this chapter 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 The application shall not be denied unless the purchaser is not eligible to purchase or possess the firearm under state or federal law.</w:t>
      </w:r>
    </w:p>
    <w:p>
      <w:pPr>
        <w:spacing w:before="0" w:after="0" w:line="408" w:lineRule="exact"/>
        <w:ind w:left="0" w:right="0" w:firstLine="576"/>
        <w:jc w:val="left"/>
      </w:pPr>
      <w:r>
        <w:rPr/>
        <w:t xml:space="preserve">(d) The chief of police of the municipality or the sheriff of the county, or the state pursuant to subsection (3)(b) of this section, shall retain or destroy applications to purchase a pistol or semiautomatic assault rifle in accordance with the requirements of 18 U.S.C. Sec. 922.</w:t>
      </w:r>
    </w:p>
    <w:p>
      <w:pPr>
        <w:spacing w:before="0" w:after="0" w:line="408" w:lineRule="exact"/>
        <w:ind w:left="0" w:right="0" w:firstLine="576"/>
        <w:jc w:val="left"/>
      </w:pPr>
      <w:r>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t xml:space="preserve">(b) The fee under (a) of this subsection shall be no more than is necessary to fund the following:</w:t>
      </w:r>
    </w:p>
    <w:p>
      <w:pPr>
        <w:spacing w:before="0" w:after="0" w:line="408" w:lineRule="exact"/>
        <w:ind w:left="0" w:right="0" w:firstLine="576"/>
        <w:jc w:val="left"/>
      </w:pPr>
      <w:r>
        <w:rPr/>
        <w:t xml:space="preserve">(i) The state for the cost of meeting its obligations under this section;</w:t>
      </w:r>
    </w:p>
    <w:p>
      <w:pPr>
        <w:spacing w:before="0" w:after="0" w:line="408" w:lineRule="exact"/>
        <w:ind w:left="0" w:right="0" w:firstLine="576"/>
        <w:jc w:val="left"/>
      </w:pPr>
      <w:r>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t xml:space="preserve">(8)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rPr/>
        <w:t xml:space="preserve">(9) This section does not apply to sales to licensed dealers for resale or to the sale of antique firearms.</w:t>
      </w:r>
    </w:p>
    <w:p/>
    <w:p>
      <w:pPr>
        <w:jc w:val="center"/>
      </w:pPr>
      <w:r>
        <w:rPr>
          <w:b/>
        </w:rPr>
        <w:t>--- END ---</w:t>
      </w:r>
    </w:p>
    <w:sectPr>
      <w:pgNumType w:start="1"/>
      <w:footerReference xmlns:r="http://schemas.openxmlformats.org/officeDocument/2006/relationships" r:id="Ra37ad161590f4a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2a055c2c084eee" /><Relationship Type="http://schemas.openxmlformats.org/officeDocument/2006/relationships/footer" Target="/word/footer1.xml" Id="Ra37ad161590f4a36" /></Relationships>
</file>