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cad970c4c4d65" /></Relationships>
</file>

<file path=word/document.xml><?xml version="1.0" encoding="utf-8"?>
<w:document xmlns:w="http://schemas.openxmlformats.org/wordprocessingml/2006/main">
  <w:body>
    <w:p>
      <w:r>
        <w:t>H-0594.1</w:t>
      </w:r>
    </w:p>
    <w:p>
      <w:pPr>
        <w:jc w:val="center"/>
      </w:pPr>
      <w:r>
        <w:t>_______________________________________________</w:t>
      </w:r>
    </w:p>
    <w:p/>
    <w:p>
      <w:pPr>
        <w:jc w:val="center"/>
      </w:pPr>
      <w:r>
        <w:rPr>
          <w:b/>
        </w:rPr>
        <w:t>HOUSE BILL 1524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Chapman, Orcutt, Dent, Walsh, and Pellicciotti</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registering street rod vehicles and custom vehicles; amending RCW 46.18.220;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114, Laws of 2011 made the requirements that street rods and custom vehicles must be registered under RCW 46.18.220. The legislature intends to correct a technical oversight that is preventing the full implementation of these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w:t>
      </w:r>
      <w:r>
        <w:rPr>
          <w:u w:val="single"/>
        </w:rPr>
        <w:t xml:space="preserve">or is a street rod vehicle as defined in RCW 46.04.572 or a custom vehicle as defined in RCW 46.04.161</w:t>
      </w:r>
      <w:r>
        <w:rPr/>
        <w:t xml:space="preserve">.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
      <w:pPr>
        <w:jc w:val="center"/>
      </w:pPr>
      <w:r>
        <w:rPr>
          <w:b/>
        </w:rPr>
        <w:t>--- END ---</w:t>
      </w:r>
    </w:p>
    <w:sectPr>
      <w:pgNumType w:start="1"/>
      <w:footerReference xmlns:r="http://schemas.openxmlformats.org/officeDocument/2006/relationships" r:id="R2e4f29e7e8b6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f0f18d6be4bc9" /><Relationship Type="http://schemas.openxmlformats.org/officeDocument/2006/relationships/footer" Target="/word/footer1.xml" Id="R2e4f29e7e8b6480a" /></Relationships>
</file>