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639fe94f548a7" /></Relationships>
</file>

<file path=word/document.xml><?xml version="1.0" encoding="utf-8"?>
<w:document xmlns:w="http://schemas.openxmlformats.org/wordprocessingml/2006/main">
  <w:body>
    <w:p>
      <w:r>
        <w:t>H-0274.3</w:t>
      </w:r>
    </w:p>
    <w:p>
      <w:pPr>
        <w:jc w:val="center"/>
      </w:pPr>
      <w:r>
        <w:t>_______________________________________________</w:t>
      </w:r>
    </w:p>
    <w:p/>
    <w:p>
      <w:pPr>
        <w:jc w:val="center"/>
      </w:pPr>
      <w:r>
        <w:rPr>
          <w:b/>
        </w:rPr>
        <w:t>HOUSE BILL 1569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Chapman, Callan, Peterson, Fitzgibbon, and Slatter</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the degradability of products;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(3) "Film product" means a bag, sack, wrap, or other sheet film product.</w:t>
      </w:r>
    </w:p>
    <w:p>
      <w:pPr>
        <w:spacing w:before="0" w:after="0" w:line="408" w:lineRule="exact"/>
        <w:ind w:left="0" w:right="0" w:firstLine="576"/>
        <w:jc w:val="left"/>
      </w:pPr>
      <w:r>
        <w:rPr/>
        <w:t xml:space="preserve">(4) "Food packaging and food serviceware" means a product including, but not limited to, containers, plates, bowls, cups, lids, meat trays, straws, deli rounds, cocktail picks, splash sticks, utensils, sachets, portion cups, and other foodservice ware that is intended for one-time use and used for food or drink offered for sale or use.</w:t>
      </w:r>
    </w:p>
    <w:p>
      <w:pPr>
        <w:spacing w:before="0" w:after="0" w:line="408" w:lineRule="exact"/>
        <w:ind w:left="0" w:right="0" w:firstLine="576"/>
        <w:jc w:val="left"/>
      </w:pPr>
      <w:r>
        <w:rPr/>
        <w:t xml:space="preserve">(5) "Manufacturer" means a person, firm, association, partnership, or corporation that produces a product.</w:t>
      </w:r>
    </w:p>
    <w:p>
      <w:pPr>
        <w:spacing w:before="0" w:after="0" w:line="408" w:lineRule="exact"/>
        <w:ind w:left="0" w:right="0" w:firstLine="576"/>
        <w:jc w:val="left"/>
      </w:pPr>
      <w:r>
        <w:rPr/>
        <w:t xml:space="preserve">(6)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(7) "Plastic food packaging and food serviceware" means food packaging and food serviceware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(8)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serviceware.</w:t>
      </w:r>
    </w:p>
    <w:p>
      <w:pPr>
        <w:spacing w:before="0" w:after="0" w:line="408" w:lineRule="exact"/>
        <w:ind w:left="0" w:right="0" w:firstLine="576"/>
        <w:jc w:val="left"/>
      </w:pPr>
      <w:r>
        <w:rPr/>
        <w:t xml:space="preserve">(9) "Readily and easily identifiable" means a product that:</w:t>
      </w:r>
    </w:p>
    <w:p>
      <w:pPr>
        <w:spacing w:before="0" w:after="0" w:line="408" w:lineRule="exact"/>
        <w:ind w:left="0" w:right="0" w:firstLine="576"/>
        <w:jc w:val="left"/>
      </w:pPr>
      <w:r>
        <w:rPr/>
        <w:t xml:space="preserve">(a) Meets industry standards for being distinguishable in both public sorting areas or at a distance in processing facilities; and </w:t>
      </w:r>
    </w:p>
    <w:p>
      <w:pPr>
        <w:spacing w:before="0" w:after="0" w:line="408" w:lineRule="exact"/>
        <w:ind w:left="0" w:right="0" w:firstLine="576"/>
        <w:jc w:val="left"/>
      </w:pPr>
      <w:r>
        <w:rPr/>
        <w:t xml:space="preserve">(b) When compostable, uses distinctive brown or green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(10)(a) "Standard specification" means either:</w:t>
      </w:r>
    </w:p>
    <w:p>
      <w:pPr>
        <w:spacing w:before="0" w:after="0" w:line="408" w:lineRule="exact"/>
        <w:ind w:left="0" w:right="0" w:firstLine="576"/>
        <w:jc w:val="left"/>
      </w:pPr>
      <w:r>
        <w:rPr/>
        <w:t xml:space="preserve">(i)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(ii)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(b) "Standard specification" does not include an ASTM standard guide, a standard practice, or a standard test method. It does include the entire specification and associated test methods that need to be met.</w:t>
      </w:r>
    </w:p>
    <w:p>
      <w:pPr>
        <w:spacing w:before="0" w:after="0" w:line="408" w:lineRule="exact"/>
        <w:ind w:left="0" w:right="0" w:firstLine="576"/>
        <w:jc w:val="left"/>
      </w:pPr>
      <w:r>
        <w:rPr/>
        <w:t xml:space="preserve">(11) "Supplier" means a person, firm, association, partnership, company, or corporation that sells, offers for sale, offers for promotional purposes, or takes title to a product. Supplier does not include a person, firm, association, partnership, company, or corporation that sells products to end users as a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(1)(a)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of wood or fiber-based substrate only;</w:t>
      </w:r>
    </w:p>
    <w:p>
      <w:pPr>
        <w:spacing w:before="0" w:after="0" w:line="408" w:lineRule="exact"/>
        <w:ind w:left="0" w:right="0" w:firstLine="576"/>
        <w:jc w:val="left"/>
      </w:pPr>
      <w:r>
        <w:rPr/>
        <w:t xml:space="preserve">(2) Meet labeling requirements established under the United States federal trade commission's guides; and</w:t>
      </w:r>
    </w:p>
    <w:p>
      <w:pPr>
        <w:spacing w:before="0" w:after="0" w:line="408" w:lineRule="exact"/>
        <w:ind w:left="0" w:right="0" w:firstLine="576"/>
        <w:jc w:val="left"/>
      </w:pPr>
      <w:r>
        <w:rPr/>
        <w:t xml:space="preserve">(3) Feature labeling that:</w:t>
      </w:r>
    </w:p>
    <w:p>
      <w:pPr>
        <w:spacing w:before="0" w:after="0" w:line="408" w:lineRule="exact"/>
        <w:ind w:left="0" w:right="0" w:firstLine="576"/>
        <w:jc w:val="left"/>
      </w:pPr>
      <w:r>
        <w:rPr/>
        <w:t xml:space="preserve">(a) Is ready and easily identifiable;</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 and is documented to be compostable in the commercial composting facility that accepts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 and</w:t>
      </w:r>
    </w:p>
    <w:p>
      <w:pPr>
        <w:spacing w:before="0" w:after="0" w:line="408" w:lineRule="exact"/>
        <w:ind w:left="0" w:right="0" w:firstLine="576"/>
        <w:jc w:val="left"/>
      </w:pPr>
      <w:r>
        <w:rPr/>
        <w:t xml:space="preserve">(c) If the bag is smaller than fourteen inches by fourteen inches, the lettering and stripe must be in proportion to the size of the bag.</w:t>
      </w:r>
    </w:p>
    <w:p>
      <w:pPr>
        <w:spacing w:before="0" w:after="0" w:line="408" w:lineRule="exact"/>
        <w:ind w:left="0" w:right="0" w:firstLine="576"/>
        <w:jc w:val="left"/>
      </w:pPr>
      <w:r>
        <w:rPr/>
        <w:t xml:space="preserve">(3)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(4)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packaging, food serviceware, or film products that meet ASTM standard specification D6400 or ASTM standard specification D6868 must ensure that the items are readily and easily identifiable from other plastic food packaging, food serviceware,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 meet all the following requirements:</w:t>
      </w:r>
    </w:p>
    <w:p>
      <w:pPr>
        <w:spacing w:before="0" w:after="0" w:line="408" w:lineRule="exact"/>
        <w:ind w:left="0" w:right="0" w:firstLine="576"/>
        <w:jc w:val="left"/>
      </w:pPr>
      <w:r>
        <w:rPr/>
        <w:t xml:space="preserve">(a)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Labeled with the word "compostable," where possible, indicating the food packaging or film product has been tested by a recognized third-party independent body and meets the ASTM standard specification and is documented to be compostable in the commercial composting facility that accepts it.</w:t>
      </w:r>
    </w:p>
    <w:p>
      <w:pPr>
        <w:spacing w:before="0" w:after="0" w:line="408" w:lineRule="exact"/>
        <w:ind w:left="0" w:right="0" w:firstLine="576"/>
        <w:jc w:val="left"/>
      </w:pPr>
      <w:r>
        <w:rPr/>
        <w:t xml:space="preserve">(3)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(4)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packaging and food serviceware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180da735cf947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ae3e0ad694c84" /><Relationship Type="http://schemas.openxmlformats.org/officeDocument/2006/relationships/footer" Target="/word/footer1.xml" Id="Rb180da735cf947bf" /></Relationships>
</file>