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09802f2c74752" /></Relationships>
</file>

<file path=word/document.xml><?xml version="1.0" encoding="utf-8"?>
<w:document xmlns:w="http://schemas.openxmlformats.org/wordprocessingml/2006/main">
  <w:body>
    <w:p>
      <w:r>
        <w:t>H-0532.1</w:t>
      </w:r>
    </w:p>
    <w:p>
      <w:pPr>
        <w:jc w:val="center"/>
      </w:pPr>
      <w:r>
        <w:t>_______________________________________________</w:t>
      </w:r>
    </w:p>
    <w:p/>
    <w:p>
      <w:pPr>
        <w:jc w:val="center"/>
      </w:pPr>
      <w:r>
        <w:rPr>
          <w:b/>
        </w:rPr>
        <w:t>HOUSE BILL 1616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Walsh, Shea, Orcutt, and Chapman</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drivers to use personal electronic devices while a motor vehicle is temporarily stationary; and amending RCW 46.61.672.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w:t>
      </w:r>
      <w:r>
        <w:t>((</w:t>
      </w:r>
      <w:r>
        <w:rPr>
          <w:strike/>
        </w:rPr>
        <w:t xml:space="preserve">including while</w:t>
      </w:r>
      <w:r>
        <w:t>))</w:t>
      </w:r>
      <w:r>
        <w:rPr/>
        <w:t xml:space="preserve"> </w:t>
      </w:r>
      <w:r>
        <w:rPr>
          <w:u w:val="single"/>
        </w:rPr>
        <w:t xml:space="preserve">but does not include when the vehicle is</w:t>
      </w:r>
      <w:r>
        <w:rPr/>
        <w:t xml:space="preserve"> temporarily stationary because of traffic, a traffic control device, or other momentary delays</w:t>
      </w:r>
      <w:r>
        <w:rPr>
          <w:u w:val="single"/>
        </w:rPr>
        <w:t xml:space="preserve">, except for the purposes of operating a commercial motor vehicle, as defined in RCW 46.25.010, for which "driving" also includes the operation of a motor vehicle when it is temporarily stationary because of traffic, a traffic control device, or other momentary delays</w:t>
      </w:r>
      <w:r>
        <w:rPr/>
        <w:t xml:space="preserve">.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5f28af2cad134f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f4f6523b84682" /><Relationship Type="http://schemas.openxmlformats.org/officeDocument/2006/relationships/footer" Target="/word/footer1.xml" Id="R5f28af2cad134fe9" /></Relationships>
</file>