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5f95b2475489d" /></Relationships>
</file>

<file path=word/document.xml><?xml version="1.0" encoding="utf-8"?>
<w:document xmlns:w="http://schemas.openxmlformats.org/wordprocessingml/2006/main">
  <w:body>
    <w:p>
      <w:r>
        <w:t>H-1643.1</w:t>
      </w:r>
    </w:p>
    <w:p>
      <w:pPr>
        <w:jc w:val="center"/>
      </w:pPr>
      <w:r>
        <w:t>_______________________________________________</w:t>
      </w:r>
    </w:p>
    <w:p/>
    <w:p>
      <w:pPr>
        <w:jc w:val="center"/>
      </w:pPr>
      <w:r>
        <w:rPr>
          <w:b/>
        </w:rPr>
        <w:t>SUBSTITUTE HOUSE BILL 1652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DeBolt, Goodman, Fitzgibbon, Appleton, Ortiz-Self, Hudgins, Orwall, Jinkins, Sells, Tharinger, Kloba, Senn, Pollet, Stanford, Bergquist,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reenacting and amending RCW 42.56.270; adding a new section to chapter 82.04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hard-to-handle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w:t>
      </w:r>
    </w:p>
    <w:p>
      <w:pPr>
        <w:spacing w:before="0" w:after="0" w:line="408" w:lineRule="exact"/>
        <w:ind w:left="0" w:right="0" w:firstLine="576"/>
        <w:jc w:val="left"/>
      </w:pPr>
      <w:r>
        <w:rPr/>
        <w:t xml:space="preserve">(iii) Collects, transports, and processes leftover paint for end-of-life management, including reuse, recycling, energy recovery, and disposal; and</w:t>
      </w:r>
    </w:p>
    <w:p>
      <w:pPr>
        <w:spacing w:before="0" w:after="0" w:line="408" w:lineRule="exact"/>
        <w:ind w:left="0" w:right="0" w:firstLine="576"/>
        <w:jc w:val="left"/>
      </w:pPr>
      <w:r>
        <w:rPr/>
        <w:t xml:space="preserve">(iv) Provides for transparency under chapter 42.56 RCW, the public records act.</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may be a toxic and hard-to-handle waste product that is appropriate for a product stewardship program to increase the safe, convenient, and effective reuse, recycling, and disposal of leftover paint. Product stewardship programs for toxic and hard-to-handle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stewardship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May 30, 2020, or within one year of the effective date of this section,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section 6(4) of this act,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section 4 of this act,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section 8 of this act.</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6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section 4(1) of this act.</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section 8 of this act within ninety days of its submission to ensure compliance with section 8(1)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Neither a paint retailer, nor any other retailer, is required to serve as a leftover paint collection facility.</w:t>
      </w:r>
    </w:p>
    <w:p>
      <w:pPr>
        <w:spacing w:before="0" w:after="0" w:line="408" w:lineRule="exact"/>
        <w:ind w:left="0" w:right="0" w:firstLine="576"/>
        <w:jc w:val="left"/>
      </w:pPr>
      <w:r>
        <w:rPr/>
        <w:t xml:space="preserve">(5) No fee may be charged at the time of delivery of leftover paint to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13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program plan pursuant to section 4 of this act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section 4(1) (c)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are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Records filed with the department of ecology under chapter 70.--- RCW (the new chapter created in section 17 of this act) that a court has determined are confidential valuable commercial information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17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6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b99ba936a8a343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e8309e22441d9" /><Relationship Type="http://schemas.openxmlformats.org/officeDocument/2006/relationships/footer" Target="/word/footer1.xml" Id="Rb99ba936a8a3433e" /></Relationships>
</file>