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f9718337d4b6b" /></Relationships>
</file>

<file path=word/document.xml><?xml version="1.0" encoding="utf-8"?>
<w:document xmlns:w="http://schemas.openxmlformats.org/wordprocessingml/2006/main">
  <w:body>
    <w:p>
      <w:r>
        <w:t>H-1094.1</w:t>
      </w:r>
    </w:p>
    <w:p>
      <w:pPr>
        <w:jc w:val="center"/>
      </w:pPr>
      <w:r>
        <w:t>_______________________________________________</w:t>
      </w:r>
    </w:p>
    <w:p/>
    <w:p>
      <w:pPr>
        <w:jc w:val="center"/>
      </w:pPr>
      <w:r>
        <w:rPr>
          <w:b/>
        </w:rPr>
        <w:t>HOUSE BILL 1684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Chapman, Vick, and Orcutt</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received at auctions conducted by registered tow truck operators; and amending RCW 46.55.130.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or a person eligible to redeem under RCW 46.55.120(1)(a)(viii) has not come forth providing information that the registered or legal owner of a motorcycle or moped is an admitted patient in a hospital,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w:t>
      </w:r>
      <w:r>
        <w:rPr>
          <w:u w:val="single"/>
        </w:rPr>
        <w:t xml:space="preserve">The moneys derived from the auction, up to the amount of the registered tow truck operator's lien, shall constitute a payment of the accumulated towing and storage charges and not consideration for the transfer of ownership, title, or possession of the vehicle.</w:t>
      </w:r>
      <w:r>
        <w:rPr/>
        <w:t xml:space="preserve">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
      <w:pPr>
        <w:jc w:val="center"/>
      </w:pPr>
      <w:r>
        <w:rPr>
          <w:b/>
        </w:rPr>
        <w:t>--- END ---</w:t>
      </w:r>
    </w:p>
    <w:sectPr>
      <w:pgNumType w:start="1"/>
      <w:footerReference xmlns:r="http://schemas.openxmlformats.org/officeDocument/2006/relationships" r:id="R13adcf00fd034d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31a66956204664" /><Relationship Type="http://schemas.openxmlformats.org/officeDocument/2006/relationships/footer" Target="/word/footer1.xml" Id="R13adcf00fd034d93" /></Relationships>
</file>