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52542274746da" /></Relationships>
</file>

<file path=word/document.xml><?xml version="1.0" encoding="utf-8"?>
<w:document xmlns:w="http://schemas.openxmlformats.org/wordprocessingml/2006/main">
  <w:body>
    <w:p>
      <w:r>
        <w:t>H-0863.2</w:t>
      </w:r>
    </w:p>
    <w:p>
      <w:pPr>
        <w:jc w:val="center"/>
      </w:pPr>
      <w:r>
        <w:t>_______________________________________________</w:t>
      </w:r>
    </w:p>
    <w:p/>
    <w:p>
      <w:pPr>
        <w:jc w:val="center"/>
      </w:pPr>
      <w:r>
        <w:rPr>
          <w:b/>
        </w:rPr>
        <w:t>HOUSE BILL 1745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Appleton, Doglio, Dolan, Pollet, Kloba, and Tharinger</w:t>
      </w:r>
    </w:p>
    <w:p/>
    <w:p>
      <w:r>
        <w:rPr>
          <w:t xml:space="preserve">Read first time 01/30/19.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limited financial resources are likely to experience fewer housing choices;</w:t>
      </w:r>
    </w:p>
    <w:p>
      <w:pPr>
        <w:spacing w:before="0" w:after="0" w:line="408" w:lineRule="exact"/>
        <w:ind w:left="0" w:right="0" w:firstLine="576"/>
        <w:jc w:val="left"/>
      </w:pPr>
      <w:r>
        <w:rPr/>
        <w:t xml:space="preserve">(2) Affordable housing is a necessary component of strong, thriving neighborhoods;</w:t>
      </w:r>
    </w:p>
    <w:p>
      <w:pPr>
        <w:spacing w:before="0" w:after="0" w:line="408" w:lineRule="exact"/>
        <w:ind w:left="0" w:right="0" w:firstLine="576"/>
        <w:jc w:val="left"/>
      </w:pPr>
      <w:r>
        <w:rPr/>
        <w:t xml:space="preserve">(3) Limited income household renters should have the opportunity to live in homes in neighborhoods close to major infrastructure investments like transit, quality schools, and vital services like health care, grocery shopping, and employment;</w:t>
      </w:r>
    </w:p>
    <w:p>
      <w:pPr>
        <w:spacing w:before="0" w:after="0" w:line="408" w:lineRule="exact"/>
        <w:ind w:left="0" w:right="0" w:firstLine="576"/>
        <w:jc w:val="left"/>
      </w:pPr>
      <w:r>
        <w:rPr/>
        <w:t xml:space="preserve">(4) Community members with critical occupations, senior citizens, and families are struggling to afford rent around the state;</w:t>
      </w:r>
    </w:p>
    <w:p>
      <w:pPr>
        <w:spacing w:before="0" w:after="0" w:line="408" w:lineRule="exact"/>
        <w:ind w:left="0" w:right="0" w:firstLine="576"/>
        <w:jc w:val="left"/>
      </w:pPr>
      <w:r>
        <w:rPr/>
        <w:t xml:space="preserve">(5) Rising rents are causing the displacement of low and very low-income households and long-time community members; and</w:t>
      </w:r>
    </w:p>
    <w:p>
      <w:pPr>
        <w:spacing w:before="0" w:after="0" w:line="408" w:lineRule="exact"/>
        <w:ind w:left="0" w:right="0" w:firstLine="576"/>
        <w:jc w:val="left"/>
      </w:pPr>
      <w:r>
        <w:rPr/>
        <w:t xml:space="preserve">(6)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give communities a local option to preserve and increase healthy, high quality, affordable rental housing opportunities for low and very low-income households when the governing authority has found that there are insufficient affordable housing opportunities available. It is also the purpose of this chapter to encourage affordable housing opportunities that are affordable to renters at below 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(2)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"Low-income household" means a single person, family, or unrelated persons living together whose adjusted income is at or below eighty percent of the median family income adjusted for family size, for the county in which the project is located, as reported by the United States department of housing and urban development.</w:t>
      </w:r>
    </w:p>
    <w:p>
      <w:pPr>
        <w:spacing w:before="0" w:after="0" w:line="408" w:lineRule="exact"/>
        <w:ind w:left="0" w:right="0" w:firstLine="576"/>
        <w:jc w:val="left"/>
      </w:pPr>
      <w:r>
        <w:rPr/>
        <w:t xml:space="preserve">(5) "Owner" means the property owner of record.</w:t>
      </w:r>
    </w:p>
    <w:p>
      <w:pPr>
        <w:spacing w:before="0" w:after="0" w:line="408" w:lineRule="exact"/>
        <w:ind w:left="0" w:right="0" w:firstLine="576"/>
        <w:jc w:val="left"/>
      </w:pPr>
      <w:r>
        <w:rPr/>
        <w:t xml:space="preserve">(6) "Permanent residential occupancy" means housing that provides rental occupancy on a nontransient basis that is leased for a period of at least one year. "Permanent residential occupancy" excludes hotels and motels that predominately offer rental accommodation on a daily or weekly basis.</w:t>
      </w:r>
    </w:p>
    <w:p>
      <w:pPr>
        <w:spacing w:before="0" w:after="0" w:line="408" w:lineRule="exact"/>
        <w:ind w:left="0" w:right="0" w:firstLine="576"/>
        <w:jc w:val="left"/>
      </w:pPr>
      <w:r>
        <w:rPr/>
        <w:t xml:space="preserve">(7) "Property" means a multifamily or mixed-use residential building that is at least twenty-five years old, a single-family dwelling, an attached or detached accessory dwelling unit that is accessory to a single-family residence of any age, and the percentage of land upon which the building or dwelling footprint is located that is attributed to qualifying housing units. "Property" excludes hotels or motels.</w:t>
      </w:r>
    </w:p>
    <w:p>
      <w:pPr>
        <w:spacing w:before="0" w:after="0" w:line="408" w:lineRule="exact"/>
        <w:ind w:left="0" w:right="0" w:firstLine="576"/>
        <w:jc w:val="left"/>
      </w:pPr>
      <w:r>
        <w:rPr/>
        <w:t xml:space="preserve">(8) "Single-family dwelling" means an individual detached dwelling.</w:t>
      </w:r>
    </w:p>
    <w:p>
      <w:pPr>
        <w:spacing w:before="0" w:after="0" w:line="408" w:lineRule="exact"/>
        <w:ind w:left="0" w:right="0" w:firstLine="576"/>
        <w:jc w:val="left"/>
      </w:pPr>
      <w:r>
        <w:rPr/>
        <w:t xml:space="preserve">(9) "Very low-income household"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adopt a property tax exemption program to preserve affordable housing within the city that meets health and quality standards for low and very low-income households at risk of displacement or that cannot afford market rate housing. A county governing authority may by ordinance or resolution adopt a property tax exemption program for unincorporated areas to preserve affordable housing that meets health and quality standards for low and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property tax exemption program adopted by the governing authority must establish qualifying standards for low and very low-income household rental housing under this chapter. Such standards must include rent limits and income guidelines consistent with local housing needs, to assist households that cannot afford market rate housing. Qualifying housing units must be:</w:t>
      </w:r>
    </w:p>
    <w:p>
      <w:pPr>
        <w:spacing w:before="0" w:after="0" w:line="408" w:lineRule="exact"/>
        <w:ind w:left="0" w:right="0" w:firstLine="576"/>
        <w:jc w:val="left"/>
      </w:pPr>
      <w:r>
        <w:rPr/>
        <w:t xml:space="preserve">(a) Rented at below market rent levels, as determined by the governing authority's appraisal or market study;</w:t>
      </w:r>
    </w:p>
    <w:p>
      <w:pPr>
        <w:spacing w:before="0" w:after="0" w:line="408" w:lineRule="exact"/>
        <w:ind w:left="0" w:right="0" w:firstLine="576"/>
        <w:jc w:val="left"/>
      </w:pPr>
      <w:r>
        <w:rPr/>
        <w:t xml:space="preserve">(b) For multifamily dwellings, affordable to very low-income households; and</w:t>
      </w:r>
    </w:p>
    <w:p>
      <w:pPr>
        <w:spacing w:before="0" w:after="0" w:line="408" w:lineRule="exact"/>
        <w:ind w:left="0" w:right="0" w:firstLine="576"/>
        <w:jc w:val="left"/>
      </w:pPr>
      <w:r>
        <w:rPr/>
        <w:t xml:space="preserve">(c) An attached or detached accessory dwelling unit that is accessory to a single-family residence, affordable to low-income households.</w:t>
      </w:r>
    </w:p>
    <w:p>
      <w:pPr>
        <w:spacing w:before="0" w:after="0" w:line="408" w:lineRule="exact"/>
        <w:ind w:left="0" w:right="0" w:firstLine="576"/>
        <w:jc w:val="left"/>
      </w:pPr>
      <w:r>
        <w:rPr/>
        <w:t xml:space="preserve">(2) The governing authority may establish income or rent thresholds below those indicated in subsection (1) of this section where it determines that such an adjustment is warranted to serve particular needs of very low-income household renters in the community.</w:t>
      </w:r>
    </w:p>
    <w:p>
      <w:pPr>
        <w:spacing w:before="0" w:after="0" w:line="408" w:lineRule="exact"/>
        <w:ind w:left="0" w:right="0" w:firstLine="576"/>
        <w:jc w:val="left"/>
      </w:pPr>
      <w:r>
        <w:rPr/>
        <w:t xml:space="preserve">(3) Rent levels for qualifying affordable housing units, including any mandatory fees for tenant paid utilities that are required as a condition of tenancy, may not exceed thirty percent of the income limit for the very low-income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housing improvements and land qualifying under this chapter is exempt from ad valorem property taxation for six successive years beginning January 1st of the year immediately following the calendar year that the certificate of tax exemption is filed with the county assessor in accordance with section 12 of this act. Subject to application to and approval by the governing authority, the exemption may be extended one time for an additional six years.</w:t>
      </w:r>
    </w:p>
    <w:p>
      <w:pPr>
        <w:spacing w:before="0" w:after="0" w:line="408" w:lineRule="exact"/>
        <w:ind w:left="0" w:right="0" w:firstLine="576"/>
        <w:jc w:val="left"/>
      </w:pPr>
      <w:r>
        <w:rPr/>
        <w:t xml:space="preserve">(2) The exemption provided under this chapter may be applied in addition to any tax credits, grants, or other incentives provided by law when required to increase the rental affordability already secured by such incentives.</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 tax exemption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A minimum of fifty percent of residential units in a multiple-unit property subject to tax exemption must be affordable as described in section 5 of this act. A governing authority may require that more than fifty percent of the units in multiple-unit housing buildings are affordable to address local market conditions;</w:t>
      </w:r>
    </w:p>
    <w:p>
      <w:pPr>
        <w:spacing w:before="0" w:after="0" w:line="408" w:lineRule="exact"/>
        <w:ind w:left="0" w:right="0" w:firstLine="576"/>
        <w:jc w:val="left"/>
      </w:pPr>
      <w:r>
        <w:rPr/>
        <w:t xml:space="preserve">(2) Qualified affordable units must be comparable in terms of quality, living conditions, and mix of unit types to market rate units in the building;</w:t>
      </w:r>
    </w:p>
    <w:p>
      <w:pPr>
        <w:spacing w:before="0" w:after="0" w:line="408" w:lineRule="exact"/>
        <w:ind w:left="0" w:right="0" w:firstLine="576"/>
        <w:jc w:val="left"/>
      </w:pPr>
      <w:r>
        <w:rPr/>
        <w:t xml:space="preserve">(3) At least ninety percent of the residential units of multiple-unit property must be occupied by tenants at the time of application;</w:t>
      </w:r>
    </w:p>
    <w:p>
      <w:pPr>
        <w:spacing w:before="0" w:after="0" w:line="408" w:lineRule="exact"/>
        <w:ind w:left="0" w:right="0" w:firstLine="576"/>
        <w:jc w:val="left"/>
      </w:pPr>
      <w:r>
        <w:rPr/>
        <w:t xml:space="preserve">(4) The property must be part of a residential or mixed use (residential and nonresidential) project, or a single-family property with an affordable attached or detached accessory dwelling unit;</w:t>
      </w:r>
    </w:p>
    <w:p>
      <w:pPr>
        <w:spacing w:before="0" w:after="0" w:line="408" w:lineRule="exact"/>
        <w:ind w:left="0" w:right="0" w:firstLine="576"/>
        <w:jc w:val="left"/>
      </w:pPr>
      <w:r>
        <w:rPr/>
        <w:t xml:space="preserve">(5) With respect to an affordable attached or detached accessory dwelling unit accessory to single-family property, only the designated improvement area and its underlying land may qualify for the exemption;</w:t>
      </w:r>
    </w:p>
    <w:p>
      <w:pPr>
        <w:spacing w:before="0" w:after="0" w:line="408" w:lineRule="exact"/>
        <w:ind w:left="0" w:right="0" w:firstLine="576"/>
        <w:jc w:val="left"/>
      </w:pPr>
      <w:r>
        <w:rPr/>
        <w:t xml:space="preserve">(6) The multiple-unit, mixed-use property must provide for a minimum of fifty percent of the space in each building for permanent residential occupancy;</w:t>
      </w:r>
    </w:p>
    <w:p>
      <w:pPr>
        <w:spacing w:before="0" w:after="0" w:line="408" w:lineRule="exact"/>
        <w:ind w:left="0" w:right="0" w:firstLine="576"/>
        <w:jc w:val="left"/>
      </w:pPr>
      <w:r>
        <w:rPr/>
        <w:t xml:space="preserve">(7) If a multiple-unit or mixed-use property has dedicated less than one hundred percent of its total square footage to qualifying units, only that dedicated percent portion of the land beneath the building footprint is subject to the exemption under this chapter; and</w:t>
      </w:r>
    </w:p>
    <w:p>
      <w:pPr>
        <w:spacing w:before="0" w:after="0" w:line="408" w:lineRule="exact"/>
        <w:ind w:left="0" w:right="0" w:firstLine="576"/>
        <w:jc w:val="left"/>
      </w:pPr>
      <w:r>
        <w:rPr/>
        <w:t xml:space="preserve">(8) The property owner must enter into a contract with the city or county agreeing to terms and conditions required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and building and housing code requirements, including space and occupancy, structural, mechanical, fire, safety, and security standards, and health and quality standards.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under this chapter and thereafter, as established by the governing authority. The governing authority may deny an application for tax exemption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The designation of particular targeted residential eligible areas based on community needs to prevent displacement, provide affordable housing options near community infrastructure such as transportation or public schools, or other local factors;</w:t>
      </w:r>
    </w:p>
    <w:p>
      <w:pPr>
        <w:spacing w:before="0" w:after="0" w:line="408" w:lineRule="exact"/>
        <w:ind w:left="0" w:right="0" w:firstLine="576"/>
        <w:jc w:val="left"/>
      </w:pPr>
      <w:r>
        <w:rPr/>
        <w:t xml:space="preserve">(b) Standards for property size, unit size, unit type, mix of unit types, or mix of unit sizes; and</w:t>
      </w:r>
    </w:p>
    <w:p>
      <w:pPr>
        <w:spacing w:before="0" w:after="0" w:line="408" w:lineRule="exact"/>
        <w:ind w:left="0" w:right="0" w:firstLine="576"/>
        <w:jc w:val="left"/>
      </w:pPr>
      <w:r>
        <w:rPr/>
        <w:t xml:space="preserve">(c)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and requirements that may include height, density, public benefit features, number and size of proposed development, parking, income limits for occupancy, health and quality standards, and other adopted requirements indicated as necessary by the governing authority. The required amenities should be commensurate with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w:t>
      </w:r>
    </w:p>
    <w:p>
      <w:pPr>
        <w:spacing w:before="0" w:after="0" w:line="408" w:lineRule="exact"/>
        <w:ind w:left="0" w:right="0" w:firstLine="576"/>
        <w:jc w:val="left"/>
      </w:pPr>
      <w:r>
        <w:rPr/>
        <w:t xml:space="preserve">(e) Documentation necessary to establish income eligibility of households in affordable housing units; and</w:t>
      </w:r>
    </w:p>
    <w:p>
      <w:pPr>
        <w:spacing w:before="0" w:after="0" w:line="408" w:lineRule="exact"/>
        <w:ind w:left="0" w:right="0" w:firstLine="576"/>
        <w:jc w:val="left"/>
      </w:pPr>
      <w:r>
        <w:rPr/>
        <w:t xml:space="preserve">(f) Fees required of the applicant in order to process the application and monitor compliance with eligibility criteria. Such fees must be commensurate with the cost anticipated by the governing authority to administer this chapter.</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include provisions not expressly provided in this section in order to meet local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(b) A description of the project,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information provided in the application by oath or affirmation.</w:t>
      </w:r>
    </w:p>
    <w:p>
      <w:pPr>
        <w:spacing w:before="0" w:after="0" w:line="408" w:lineRule="exact"/>
        <w:ind w:left="0" w:right="0" w:firstLine="576"/>
        <w:jc w:val="left"/>
      </w:pPr>
      <w:r>
        <w:rPr/>
        <w:t xml:space="preserve">(3) The applicant must submit a fee, if any, with the application as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receipt of an application meeting the requirements of section 10 of this act, the city or county must inspect the property to certify compliance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designated administrative official or agent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0" w:after="0" w:line="408" w:lineRule="exact"/>
        <w:ind w:left="0" w:right="0" w:firstLine="576"/>
        <w:jc w:val="left"/>
      </w:pPr>
      <w:r>
        <w:rPr/>
        <w:t xml:space="preserve">(2) If the application is approved, the governing authority must issue the owner a certificate of acceptance of tax exemption. The certificate must contain a statement specifying that the property has complied with the required findings indicated in this chapter. The governing authority must submit a copy of the certificate with the assessor no later than October 1st of the year before the exemption is to be applied.</w:t>
      </w:r>
    </w:p>
    <w:p>
      <w:pPr>
        <w:spacing w:before="0" w:after="0" w:line="408" w:lineRule="exact"/>
        <w:ind w:left="0" w:right="0" w:firstLine="576"/>
        <w:jc w:val="left"/>
      </w:pPr>
      <w:r>
        <w:rPr/>
        <w:t xml:space="preserve">(3) If the application is denied, the governing authority must state in writing the reasons for denial and issue notice to the applicant by regular or certified mail to the applicant's last known address, or by other means reasonably calculated to provide notice, within ten days of the denial.</w:t>
      </w:r>
    </w:p>
    <w:p>
      <w:pPr>
        <w:spacing w:before="0" w:after="0" w:line="408" w:lineRule="exact"/>
        <w:ind w:left="0" w:right="0" w:firstLine="576"/>
        <w:jc w:val="left"/>
      </w:pPr>
      <w:r>
        <w:rPr/>
        <w:t xml:space="preserve">(4) An applicant may appeal the governing authority decision to the governing authority or its designated agent within thirty days after receipt. The appeal must be based upon the record made before the administrative official or commission, and the burden is on the applicant to show that the governing authority's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anticipated cost to be incurred by the city and county in administering this chapter. The application fee, if established, must be paid at the time the application is submitted. If the application is denied, the governing authority may retain that portion of the application fee attributable to their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owner must file a report with the governing authority's designated official at least annually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w:t>
      </w:r>
    </w:p>
    <w:p>
      <w:pPr>
        <w:spacing w:before="0" w:after="0" w:line="408" w:lineRule="exact"/>
        <w:ind w:left="0" w:right="0" w:firstLine="576"/>
        <w:jc w:val="left"/>
      </w:pPr>
      <w:r>
        <w:rPr/>
        <w:t xml:space="preserve">(d) A description of any changes or improvements; and</w:t>
      </w:r>
    </w:p>
    <w:p>
      <w:pPr>
        <w:spacing w:before="0" w:after="0" w:line="408" w:lineRule="exact"/>
        <w:ind w:left="0" w:right="0" w:firstLine="576"/>
        <w:jc w:val="left"/>
      </w:pPr>
      <w:r>
        <w:rPr/>
        <w:t xml:space="preserve">(e) Any other information required to determine compliance with program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Improvements exempted under this chapter continue to be exempted for the applicable period under section 6 of this act, if the improvements continue to satisfy all applicable conditions. If the owner intends to discontinue compliance with the affordable housing requirements as described in section 6 of this act or any other condition to the exemption, the owner must notify the jurisdiction within sixty days of the owner's intended discontinuance. If the city or county is notified by the owner, or if the city or town discovers that a portion of the property no longer meets the qualifications of the city or county's exemption program, the tax exemption is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six years during which the exemption was claimed;</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must be imposed in the amount equal to twenty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of the determination to cancel the tax exemption. The owner may appeal the determination within thirty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2019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the value of residential improvements and land qualifying under chapter . . ., Laws of 2019 (this act) an exemption from ad valorem property taxation for six years, as provided for in chapter . . ., Laws of 2019 (this act), to provide incentives to property owners to preserve affordable housing units for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82.32.805(1)(a).</w:t>
      </w:r>
    </w:p>
    <w:p/>
    <w:p>
      <w:pPr>
        <w:jc w:val="center"/>
      </w:pPr>
      <w:r>
        <w:rPr>
          <w:b/>
        </w:rPr>
        <w:t>--- END ---</w:t>
      </w:r>
    </w:p>
    <w:sectPr>
      <w:pgNumType w:start="1"/>
      <w:footerReference xmlns:r="http://schemas.openxmlformats.org/officeDocument/2006/relationships" r:id="Rc9827bba224446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4011dbba34472" /><Relationship Type="http://schemas.openxmlformats.org/officeDocument/2006/relationships/footer" Target="/word/footer1.xml" Id="Rc9827bba22444608" /></Relationships>
</file>