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45d9543d14084" /></Relationships>
</file>

<file path=word/document.xml><?xml version="1.0" encoding="utf-8"?>
<w:document xmlns:w="http://schemas.openxmlformats.org/wordprocessingml/2006/main">
  <w:body>
    <w:p>
      <w:r>
        <w:t>H-2224.1</w:t>
      </w:r>
    </w:p>
    <w:p>
      <w:pPr>
        <w:jc w:val="center"/>
      </w:pPr>
      <w:r>
        <w:t>_______________________________________________</w:t>
      </w:r>
    </w:p>
    <w:p/>
    <w:p>
      <w:pPr>
        <w:jc w:val="center"/>
      </w:pPr>
      <w:r>
        <w:rPr>
          <w:b/>
        </w:rPr>
        <w:t>SECOND SUBSTITUTE HOUSE BILL 1776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Harris, Macri, Caldier, Robinson, Jinkins, Tarleton, Ormsby, and Slatter; by request of Office of Financial Management and Health Care Authority)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a new section to chapter 43.371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w:t>
      </w:r>
      <w:r>
        <w:t>((</w:t>
      </w:r>
      <w:r>
        <w:rPr>
          <w:strike/>
        </w:rPr>
        <w:t xml:space="preserve">from among the best potential bidders</w:t>
      </w:r>
      <w:r>
        <w:t>))</w:t>
      </w:r>
      <w:r>
        <w:rPr/>
        <w:t xml:space="preserve"> to coordinate and manage the database.</w:t>
      </w:r>
    </w:p>
    <w:p>
      <w:pPr>
        <w:spacing w:before="0" w:after="0" w:line="408" w:lineRule="exact"/>
        <w:ind w:left="0" w:right="0" w:firstLine="576"/>
        <w:jc w:val="left"/>
      </w:pPr>
      <w:r>
        <w:rPr/>
        <w:t xml:space="preserve">(a)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 in the state</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w:t>
      </w:r>
      <w:r>
        <w:rPr>
          <w:u w:val="single"/>
        </w:rPr>
        <w:t xml:space="preserve">, especially among groups of health providers, carriers, and self-insured purchasers</w:t>
      </w:r>
      <w:r>
        <w:rPr/>
        <w:t xml:space="preserve">.</w:t>
      </w:r>
    </w:p>
    <w:p>
      <w:pPr>
        <w:spacing w:before="0" w:after="0" w:line="408" w:lineRule="exact"/>
        <w:ind w:left="0" w:right="0" w:firstLine="576"/>
        <w:jc w:val="left"/>
      </w:pPr>
      <w:r>
        <w:rPr/>
        <w:t xml:space="preserve">(b) </w:t>
      </w:r>
      <w:r>
        <w:t>((</w:t>
      </w:r>
      <w:r>
        <w:rPr>
          <w:strike/>
        </w:rPr>
        <w:t xml:space="preserve">By December 31, 2017,</w:t>
      </w:r>
      <w:r>
        <w:t>))</w:t>
      </w:r>
      <w:r>
        <w:rPr/>
        <w:t xml:space="preserve"> </w:t>
      </w:r>
      <w:r>
        <w:rPr>
          <w:u w:val="single"/>
        </w:rPr>
        <w:t xml:space="preserve">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u w:val="single"/>
        </w:rPr>
        <w:t xml:space="preserve">(c) The authority may not select a lead organization that:</w:t>
      </w:r>
    </w:p>
    <w:p>
      <w:pPr>
        <w:spacing w:before="0" w:after="0" w:line="408" w:lineRule="exact"/>
        <w:ind w:left="0" w:right="0" w:firstLine="576"/>
        <w:jc w:val="left"/>
      </w:pPr>
      <w:r>
        <w:rPr>
          <w:u w:val="single"/>
        </w:rPr>
        <w:t xml:space="preserve">(i) Is a health plan as defined by and consistent with the definitions in RCW 48.43.005;</w:t>
      </w:r>
    </w:p>
    <w:p>
      <w:pPr>
        <w:spacing w:before="0" w:after="0" w:line="408" w:lineRule="exact"/>
        <w:ind w:left="0" w:right="0" w:firstLine="576"/>
        <w:jc w:val="left"/>
      </w:pPr>
      <w:r>
        <w:rPr>
          <w:u w:val="single"/>
        </w:rPr>
        <w:t xml:space="preserve">(ii) Is a hospital as defined in RCW 70.41.020;</w:t>
      </w:r>
    </w:p>
    <w:p>
      <w:pPr>
        <w:spacing w:before="0" w:after="0" w:line="408" w:lineRule="exact"/>
        <w:ind w:left="0" w:right="0" w:firstLine="576"/>
        <w:jc w:val="left"/>
      </w:pPr>
      <w:r>
        <w:rPr>
          <w:u w:val="single"/>
        </w:rPr>
        <w:t xml:space="preserve">(iii) Is a provider regulated under Title 18 RCW;</w:t>
      </w:r>
    </w:p>
    <w:p>
      <w:pPr>
        <w:spacing w:before="0" w:after="0" w:line="408" w:lineRule="exact"/>
        <w:ind w:left="0" w:right="0" w:firstLine="576"/>
        <w:jc w:val="left"/>
      </w:pPr>
      <w:r>
        <w:rPr>
          <w:u w:val="single"/>
        </w:rPr>
        <w:t xml:space="preserve">(iv) Is a third-party administrator as defined in RCW 70.290.010; or</w:t>
      </w:r>
    </w:p>
    <w:p>
      <w:pPr>
        <w:spacing w:before="0" w:after="0" w:line="408" w:lineRule="exact"/>
        <w:ind w:left="0" w:right="0" w:firstLine="576"/>
        <w:jc w:val="left"/>
      </w:pPr>
      <w:r>
        <w:rPr>
          <w:u w:val="single"/>
        </w:rPr>
        <w:t xml:space="preserve">(v) Is an entity with a controlling interest in any entity covered in (c)(i) through (iv) of this subsection.</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or</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assess and improve performance of the database by state agencies,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must consult with the authority in any development of database policies and rules, including but not limited to ensuring agency access to the database.</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annually to the legislature. The office must have all necessary access to database processes, procedures, methodologies, and outcomes to perform these functions. The annual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and the office, in consultation with the agency coordinating structure, lead organization, data vendor, and the performance measurement coordinating committee, must jointly develop an effectiveness review process for the state common measure set as adopted under RCW 70.320.030. The office may make recommendations for improvements in the areas evaluated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92873e132f47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f2ab59022482c" /><Relationship Type="http://schemas.openxmlformats.org/officeDocument/2006/relationships/footer" Target="/word/footer1.xml" Id="R8d92873e132f479f" /></Relationships>
</file>