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d5f35423f44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Fitzgibbon, Pettigrew, Macri, Valdez, Fey, Cody, Senn, Springer, Pollet,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amending RCW 46.63.170 and 46.63.170;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rPr>
          <w:u w:val="single"/>
        </w:rPr>
        <w:t xml:space="preserve">Except for proposed locations used solely for the pilot program purposes permitted under subsection (6) of this section, t</w:t>
      </w:r>
      <w:r>
        <w:rPr/>
        <w:t xml:space="preserve">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when traffic obstructed violations; stopping at intersection or crosswalk violations; public transportation only lane violations; stopping or traveling in restricted lane violations; and stopping or parking violations at locations restricted for emergency response vehicle entry or exit or the boarding or disembarking of public transportation vehicles, including public ferries.</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stopping or traveling in restricted lane violations; and stopping or parking violations at locations restricted for emergency response vehicle entry or exit or the boarding or disembarking of public transportation vehicles, including public ferries.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(ii)(A) Except where specifically exempted from them,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(B) Regarding any violation detected under this pilot program with respect to trucks parked for the purposes of delivering commercial products between the hours of midnight to 5 a.m. in public transportation only lanes or in lanes restricted for high occupancy vehicles, a warning notice with no penalty must be issued to the registered owner of the vehicle.</w:t>
      </w:r>
    </w:p>
    <w:p>
      <w:pPr>
        <w:spacing w:before="0" w:after="0" w:line="408" w:lineRule="exact"/>
        <w:ind w:left="0" w:right="0" w:firstLine="576"/>
        <w:jc w:val="left"/>
      </w:pPr>
      <w:r>
        <w:rPr>
          <w:u w:val="single"/>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of the boundaries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three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From the effective date of this section until January 1, 2020, a warning notice with no penalty must be issued to the registered owner of the vehicle for a violation generated through the use of an automated traffic safety camera authorized in this subsection (6). Beginning January 1, 2020, a warning notice with no penalty must be issued to the registered owner of the vehicle for the first violation generated through the use of an automated traffic safety camera authorized in this subsection (6) after January 1, 2020, and a notice of infraction must be issued, but only for a second or subsequent violation, in a manner consistent with subsections (1)(e) and (3) of this section for an infraction generated through the use of an automated traffic safety camera authorized in this subsection (6).</w:t>
      </w:r>
    </w:p>
    <w:p>
      <w:pPr>
        <w:spacing w:before="0" w:after="0" w:line="408" w:lineRule="exact"/>
        <w:ind w:left="0" w:right="0" w:firstLine="576"/>
        <w:jc w:val="left"/>
      </w:pPr>
      <w:r>
        <w:rPr>
          <w:u w:val="single"/>
        </w:rPr>
        <w:t xml:space="preserve">(d) For violations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highway safety fund created in RCW 46.68.060.</w:t>
      </w:r>
    </w:p>
    <w:p>
      <w:pPr>
        <w:spacing w:before="0" w:after="0" w:line="408" w:lineRule="exact"/>
        <w:ind w:left="0" w:right="0" w:firstLine="576"/>
        <w:jc w:val="left"/>
      </w:pPr>
      <w:r>
        <w:rPr>
          <w:u w:val="single"/>
        </w:rPr>
        <w:t xml:space="preserve">(e) A city that implements a pilot program under this subsection (6) must provide a report to the transportation committees of the legislature by June 30, 2021, on the pilot program that includes the locations chosen for the automated traffic safety cameras used in the pilot program, the number of traffic infractions issued under the pilot program, the number of traffic infractions issued with respect to vehicles registered outside of the county in which the city is located,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d9b3c7b51e6548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447f5bd77408e" /><Relationship Type="http://schemas.openxmlformats.org/officeDocument/2006/relationships/footer" Target="/word/footer1.xml" Id="Rd9b3c7b51e654848" /></Relationships>
</file>