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89cb3ffb64334" /></Relationships>
</file>

<file path=word/document.xml><?xml version="1.0" encoding="utf-8"?>
<w:document xmlns:w="http://schemas.openxmlformats.org/wordprocessingml/2006/main">
  <w:body>
    <w:p>
      <w:r>
        <w:t>H-1280.1</w:t>
      </w:r>
    </w:p>
    <w:p>
      <w:pPr>
        <w:jc w:val="center"/>
      </w:pPr>
      <w:r>
        <w:t>_______________________________________________</w:t>
      </w:r>
    </w:p>
    <w:p/>
    <w:p>
      <w:pPr>
        <w:jc w:val="center"/>
      </w:pPr>
      <w:r>
        <w:rPr>
          <w:b/>
        </w:rPr>
        <w:t>HOUSE BILL 1858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02/01/19.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Bar Association; adding new sections to chapter 2.44 RCW; creating a new section; recodifying RCW 2.48.180, 2.48.190, and 2.48.200; and repealing RCW 2.48.010, 2.48.020, 2.48.021, 2.48.030, 2.48.035, 2.48.040, 2.48.050, 2.48.060, 2.48.070, 2.48.080, 2.48.090, 2.48.100, 2.48.110, 2.48.130, 2.48.140, 2.48.150, 2.48.160, 2.48.165, 2.48.166, 2.48.170, 2.48.210, 2.48.220, and 2.48.230.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Bar Association was initially established by the legislature as a state agency. Since that time the State Supreme Court has taken over as the entity regulating members of the state bar, and has opined that, "the ultimate power to regulate court-related functions, including the administration of the Bar Association, belongs exclusively to this court." </w:t>
      </w:r>
      <w:r>
        <w:rPr>
          <w:i/>
        </w:rPr>
        <w:t xml:space="preserve">WSBA v. State of Washington</w:t>
      </w:r>
      <w:r>
        <w:rPr/>
        <w:t xml:space="preserve">, 125 Wn.2d 901 (1995). Therefore, the legislature intends to repeal statutes establishing the bar association and regulation of members of the bar.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w:t>
      </w:r>
      <w:r>
        <w:rPr/>
        <w:t xml:space="preserve">.</w:t>
      </w:r>
      <w:r>
        <w:t xml:space="preserve">48</w:t>
      </w:r>
      <w:r>
        <w:rPr/>
        <w:t xml:space="preserve">.</w:t>
      </w:r>
      <w:r>
        <w:t xml:space="preserve">010</w:t>
      </w:r>
      <w:r>
        <w:rPr/>
        <w:t xml:space="preserve"> (Objects and powers) and 1933 c 94 s 2;</w:t>
      </w:r>
    </w:p>
    <w:p>
      <w:pPr>
        <w:spacing w:before="0" w:after="0" w:line="408" w:lineRule="exact"/>
        <w:ind w:left="0" w:right="0" w:firstLine="576"/>
        <w:jc w:val="left"/>
      </w:pPr>
      <w:r>
        <w:rPr/>
        <w:t xml:space="preserve">(2) </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rPr/>
        <w:t xml:space="preserve">(3) </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rPr/>
        <w:t xml:space="preserve">(4) </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rPr/>
        <w:t xml:space="preserve">(5) </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rPr/>
        <w:t xml:space="preserve">(6) </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rPr/>
        <w:t xml:space="preserve">(7) </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rPr/>
        <w:t xml:space="preserve">(8) </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rPr/>
        <w:t xml:space="preserve">(9) </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rPr/>
        <w:t xml:space="preserve">(10) </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rPr/>
        <w:t xml:space="preserve">(11) </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rPr/>
        <w:t xml:space="preserve">(12)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rPr/>
        <w:t xml:space="preserve">(13) </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rPr/>
        <w:t xml:space="preserve">(14) </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rPr/>
        <w:t xml:space="preserve">(15) </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rPr/>
        <w:t xml:space="preserve">(16) </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rPr/>
        <w:t xml:space="preserve">(17) </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rPr/>
        <w:t xml:space="preserve">(18) </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 </w:t>
      </w:r>
    </w:p>
    <w:p>
      <w:pPr>
        <w:spacing w:before="0" w:after="0" w:line="408" w:lineRule="exact"/>
        <w:ind w:left="0" w:right="0" w:firstLine="576"/>
        <w:jc w:val="left"/>
      </w:pPr>
      <w:r>
        <w:rPr/>
        <w:t xml:space="preserve">(19) </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 </w:t>
      </w:r>
    </w:p>
    <w:p>
      <w:pPr>
        <w:spacing w:before="0" w:after="0" w:line="408" w:lineRule="exact"/>
        <w:ind w:left="0" w:right="0" w:firstLine="576"/>
        <w:jc w:val="left"/>
      </w:pPr>
      <w:r>
        <w:rPr/>
        <w:t xml:space="preserve">(20) </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rPr/>
        <w:t xml:space="preserve">(21)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rPr/>
        <w:t xml:space="preserve">(22) </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rPr/>
        <w:t xml:space="preserve">(23) </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w:t>
      </w:r>
      <w:r>
        <w:t xml:space="preserve">2</w:t>
      </w:r>
      <w:r>
        <w:rPr/>
        <w:t xml:space="preserve">.</w:t>
      </w:r>
      <w:r>
        <w:t xml:space="preserve">48</w:t>
      </w:r>
      <w:r>
        <w:rPr/>
        <w:t xml:space="preserve">.</w:t>
      </w:r>
      <w:r>
        <w:t xml:space="preserve">190</w:t>
      </w:r>
      <w:r>
        <w:rPr/>
        <w:t xml:space="preserve">, and </w:t>
      </w:r>
      <w:r>
        <w:t xml:space="preserve">2</w:t>
      </w:r>
      <w:r>
        <w:rPr/>
        <w:t xml:space="preserve">.</w:t>
      </w:r>
      <w:r>
        <w:t xml:space="preserve">48</w:t>
      </w:r>
      <w:r>
        <w:rPr/>
        <w:t xml:space="preserve">.</w:t>
      </w:r>
      <w:r>
        <w:t xml:space="preserve">200</w:t>
      </w:r>
      <w:r>
        <w:rPr/>
        <w:t xml:space="preserve"> are each recodified as sections in chapter 2.44 RCW.</w:t>
      </w:r>
    </w:p>
    <w:p/>
    <w:p>
      <w:pPr>
        <w:jc w:val="center"/>
      </w:pPr>
      <w:r>
        <w:rPr>
          <w:b/>
        </w:rPr>
        <w:t>--- END ---</w:t>
      </w:r>
    </w:p>
    <w:sectPr>
      <w:pgNumType w:start="1"/>
      <w:footerReference xmlns:r="http://schemas.openxmlformats.org/officeDocument/2006/relationships" r:id="Rd9acfb23404d40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83c6dcf5fb4ebf" /><Relationship Type="http://schemas.openxmlformats.org/officeDocument/2006/relationships/footer" Target="/word/footer1.xml" Id="Rd9acfb23404d4079" /></Relationships>
</file>