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0c2fd7e264164" /></Relationships>
</file>

<file path=word/document.xml><?xml version="1.0" encoding="utf-8"?>
<w:document xmlns:w="http://schemas.openxmlformats.org/wordprocessingml/2006/main">
  <w:body>
    <w:p>
      <w:r>
        <w:t>H-1366.1</w:t>
      </w:r>
    </w:p>
    <w:p>
      <w:pPr>
        <w:jc w:val="center"/>
      </w:pPr>
      <w:r>
        <w:t>_______________________________________________</w:t>
      </w:r>
    </w:p>
    <w:p/>
    <w:p>
      <w:pPr>
        <w:jc w:val="center"/>
      </w:pPr>
      <w:r>
        <w:rPr>
          <w:b/>
        </w:rPr>
        <w:t>HOUSE BILL 1924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Pettigrew, Peterson, Stonier, Harris, Santos, Ryu, Pollet, Slatter, Springer, Appleton, Doglio, Jinkins, Leavitt, Ortiz-Self, Stanford, Walen, Valdez, Goodman, Ramos, Senn, Lekanoff, Thai, Riccelli, Ormsby, Tharinger, and Davis</w:t>
      </w:r>
    </w:p>
    <w:p/>
    <w:p>
      <w:r>
        <w:rPr>
          <w:t xml:space="preserve">Read first time 02/06/19.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voting rights of persons convicted of a felony offense; and amending RCW 10.64.140, 29A.08.520, and 72.09.270.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of corrections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under the authority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w:t>
      </w:r>
      <w:r>
        <w:rPr/>
        <w:noBreakHyphen/>
      </w:r>
      <w:r>
        <w:rPr>
          <w:strike/>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twice a year, the secretary of state shall compare the list of registered voters to a list </w:t>
      </w:r>
      <w:r>
        <w:rPr>
          <w:u w:val="single"/>
        </w:rPr>
        <w:t xml:space="preserve">from the department of corrections</w:t>
      </w:r>
      <w:r>
        <w:rPr/>
        <w:t xml:space="preserve"> of </w:t>
      </w:r>
      <w:r>
        <w:t>((</w:t>
      </w:r>
      <w:r>
        <w:rPr>
          <w:strike/>
        </w:rPr>
        <w:t xml:space="preserve">felons</w:t>
      </w:r>
      <w:r>
        <w:t>))</w:t>
      </w:r>
      <w:r>
        <w:rPr/>
        <w:t xml:space="preserve"> </w:t>
      </w:r>
      <w:r>
        <w:rPr>
          <w:u w:val="single"/>
        </w:rPr>
        <w:t xml:space="preserve">persons convicted of felony offenses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 In addition to the individual reentry plan, created pursuant to RCW 72.09.270, the department of corrections must provide a person with a voter registration application and information on how to register to vote, upon their release from the authority of the department of corrections.</w:t>
      </w:r>
    </w:p>
    <w:p>
      <w:pPr>
        <w:spacing w:before="0" w:after="0" w:line="408" w:lineRule="exact"/>
        <w:ind w:left="0" w:right="0" w:firstLine="576"/>
        <w:jc w:val="left"/>
      </w:pPr>
      <w:r>
        <w:rPr>
          <w:u w:val="single"/>
        </w:rPr>
        <w:t xml:space="preserve">(4)</w:t>
      </w:r>
      <w:r>
        <w:rPr/>
        <w:t xml:space="preserve">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of corrections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w:t>
      </w:r>
      <w:r>
        <w:rPr>
          <w:u w:val="single"/>
        </w:rPr>
        <w:t xml:space="preserve">In addition to the individual reentry plan developed under this section, the department shall provide the offender with voter registration materials in accordance with RCW 29A.08.520.</w:t>
      </w:r>
    </w:p>
    <w:p>
      <w:pPr>
        <w:spacing w:before="0" w:after="0" w:line="408" w:lineRule="exact"/>
        <w:ind w:left="0" w:right="0" w:firstLine="576"/>
        <w:jc w:val="left"/>
      </w:pPr>
      <w:r>
        <w:rPr>
          <w:u w:val="single"/>
        </w:rPr>
        <w:t xml:space="preserve">(10)</w:t>
      </w:r>
      <w:r>
        <w:rPr/>
        <w:t xml:space="preserve"> Nothing in this section creates a vested right in programming, education, or other services.</w:t>
      </w:r>
    </w:p>
    <w:p/>
    <w:p>
      <w:pPr>
        <w:jc w:val="center"/>
      </w:pPr>
      <w:r>
        <w:rPr>
          <w:b/>
        </w:rPr>
        <w:t>--- END ---</w:t>
      </w:r>
    </w:p>
    <w:sectPr>
      <w:pgNumType w:start="1"/>
      <w:footerReference xmlns:r="http://schemas.openxmlformats.org/officeDocument/2006/relationships" r:id="R59434574612b46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32c83f70c4523" /><Relationship Type="http://schemas.openxmlformats.org/officeDocument/2006/relationships/footer" Target="/word/footer1.xml" Id="R59434574612b469e" /></Relationships>
</file>