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ebb946903147bd" /></Relationships>
</file>

<file path=word/document.xml><?xml version="1.0" encoding="utf-8"?>
<w:document xmlns:w="http://schemas.openxmlformats.org/wordprocessingml/2006/main">
  <w:body>
    <w:p>
      <w:r>
        <w:t>H-1235.1</w:t>
      </w:r>
    </w:p>
    <w:p>
      <w:pPr>
        <w:jc w:val="center"/>
      </w:pPr>
      <w:r>
        <w:t>_______________________________________________</w:t>
      </w:r>
    </w:p>
    <w:p/>
    <w:p>
      <w:pPr>
        <w:jc w:val="center"/>
      </w:pPr>
      <w:r>
        <w:rPr>
          <w:b/>
        </w:rPr>
        <w:t>HOUSE BILL 1981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Maycumber, Chapman, Kretz, Walsh, and Eslick</w:t>
      </w:r>
    </w:p>
    <w:p/>
    <w:p>
      <w:r>
        <w:rPr>
          <w:t xml:space="preserve">Read first time 02/08/19.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business and occupation credit for manufacturers utilizing a patent;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2 and 3, chapter . . ., Laws of 2019 (sections 2 and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encourage businesses to invest in manufacturing.</w:t>
      </w:r>
    </w:p>
    <w:p>
      <w:pPr>
        <w:spacing w:before="0" w:after="0" w:line="408" w:lineRule="exact"/>
        <w:ind w:left="0" w:right="0" w:firstLine="576"/>
        <w:jc w:val="left"/>
      </w:pPr>
      <w:r>
        <w:rPr/>
        <w:t xml:space="preserve">(4) If a review finds that there are at least ten taxpayers that utilize this tax preference and that the total amount of manufacturing activities in Washington has increased,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limits and provisions of this section, a credit is authorized against the tax otherwise due under RCW 82.04.240 for qualified expenditures by persons engaged in the business of manufacturing that utilizes a patent granted by the United States patent and trademark office.</w:t>
      </w:r>
    </w:p>
    <w:p>
      <w:pPr>
        <w:spacing w:before="0" w:after="0" w:line="408" w:lineRule="exact"/>
        <w:ind w:left="0" w:right="0" w:firstLine="576"/>
        <w:jc w:val="left"/>
      </w:pPr>
      <w:r>
        <w:rPr/>
        <w:t xml:space="preserve">(2)(a) Subject to the limits in (b) of this subsection, the maximum credit under this section equals five hundred thousand dollars or the amount of qualified expenditures for a calendar year, whichever is less. Unused credits may not be carried over to other years. No refunds may be granted for credits under this section.</w:t>
      </w:r>
    </w:p>
    <w:p>
      <w:pPr>
        <w:spacing w:before="0" w:after="0" w:line="408" w:lineRule="exact"/>
        <w:ind w:left="0" w:right="0" w:firstLine="576"/>
        <w:jc w:val="left"/>
      </w:pPr>
      <w:r>
        <w:rPr/>
        <w:t xml:space="preserve">(b) Credits are available on a first-in-time basis. The department must disallow any credits, or portion thereof, that would cause the total amount of credits claimed under this section during any calendar year to exceed fifty million dollars. In addition, the department must provide written notice to any person who has claimed tax credits in excess of the limitation of this subsection. The notice must indicate the amount of tax due and provide that the tax must be paid within thirty days from the date of the notice. The department may not assess penalties and interest as provided in chapter 82.32 RCW on the amount due in the initial notice if the amount is paid by the due date specified in the notice, or any extension thereof.</w:t>
      </w:r>
    </w:p>
    <w:p>
      <w:pPr>
        <w:spacing w:before="0" w:after="0" w:line="408" w:lineRule="exact"/>
        <w:ind w:left="0" w:right="0" w:firstLine="576"/>
        <w:jc w:val="left"/>
      </w:pPr>
      <w:r>
        <w:rPr/>
        <w:t xml:space="preserve">(3) To qualify for the credit, the person must:</w:t>
      </w:r>
    </w:p>
    <w:p>
      <w:pPr>
        <w:spacing w:before="0" w:after="0" w:line="408" w:lineRule="exact"/>
        <w:ind w:left="0" w:right="0" w:firstLine="576"/>
        <w:jc w:val="left"/>
      </w:pPr>
      <w:r>
        <w:rPr/>
        <w:t xml:space="preserve">(a) Be a manufacturer as defined in RCW 82.04.110;</w:t>
      </w:r>
    </w:p>
    <w:p>
      <w:pPr>
        <w:spacing w:before="0" w:after="0" w:line="408" w:lineRule="exact"/>
        <w:ind w:left="0" w:right="0" w:firstLine="576"/>
        <w:jc w:val="left"/>
      </w:pPr>
      <w:r>
        <w:rPr/>
        <w:t xml:space="preserve">(b) Be utilizing a patent granted by the United States patent and trademark office for:</w:t>
      </w:r>
    </w:p>
    <w:p>
      <w:pPr>
        <w:spacing w:before="0" w:after="0" w:line="408" w:lineRule="exact"/>
        <w:ind w:left="0" w:right="0" w:firstLine="576"/>
        <w:jc w:val="left"/>
      </w:pPr>
      <w:r>
        <w:rPr/>
        <w:t xml:space="preserve">(i) A process, machine, article of manufacture, or compositions of matter, or any new or useful improvements thereof;</w:t>
      </w:r>
    </w:p>
    <w:p>
      <w:pPr>
        <w:spacing w:before="0" w:after="0" w:line="408" w:lineRule="exact"/>
        <w:ind w:left="0" w:right="0" w:firstLine="576"/>
        <w:jc w:val="left"/>
      </w:pPr>
      <w:r>
        <w:rPr/>
        <w:t xml:space="preserve">(ii) A new, original, and ornamental design for an article of manufacture; or</w:t>
      </w:r>
    </w:p>
    <w:p>
      <w:pPr>
        <w:spacing w:before="0" w:after="0" w:line="408" w:lineRule="exact"/>
        <w:ind w:left="0" w:right="0" w:firstLine="576"/>
        <w:jc w:val="left"/>
      </w:pPr>
      <w:r>
        <w:rPr/>
        <w:t xml:space="preserve">(iii) An invention or discovery and asexual reproduction of any distinct or new variety of plant;</w:t>
      </w:r>
    </w:p>
    <w:p>
      <w:pPr>
        <w:spacing w:before="0" w:after="0" w:line="408" w:lineRule="exact"/>
        <w:ind w:left="0" w:right="0" w:firstLine="576"/>
        <w:jc w:val="left"/>
      </w:pPr>
      <w:r>
        <w:rPr/>
        <w:t xml:space="preserve">(c) Have or previously had a presence in Washington at:</w:t>
      </w:r>
    </w:p>
    <w:p>
      <w:pPr>
        <w:spacing w:before="0" w:after="0" w:line="408" w:lineRule="exact"/>
        <w:ind w:left="0" w:right="0" w:firstLine="576"/>
        <w:jc w:val="left"/>
      </w:pPr>
      <w:r>
        <w:rPr/>
        <w:t xml:space="preserve">(i) The date of patent application, including a provisional application for patent; or</w:t>
      </w:r>
    </w:p>
    <w:p>
      <w:pPr>
        <w:spacing w:before="0" w:after="0" w:line="408" w:lineRule="exact"/>
        <w:ind w:left="0" w:right="0" w:firstLine="576"/>
        <w:jc w:val="left"/>
      </w:pPr>
      <w:r>
        <w:rPr/>
        <w:t xml:space="preserve">(ii) The date the patent was granted; and</w:t>
      </w:r>
    </w:p>
    <w:p>
      <w:pPr>
        <w:spacing w:before="0" w:after="0" w:line="408" w:lineRule="exact"/>
        <w:ind w:left="0" w:right="0" w:firstLine="576"/>
        <w:jc w:val="left"/>
      </w:pPr>
      <w:r>
        <w:rPr/>
        <w:t xml:space="preserve">(d) Engage in manufacturing activities in Washington directly related to the subject matter of the patent.</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"Presence in Washington" means:</w:t>
      </w:r>
    </w:p>
    <w:p>
      <w:pPr>
        <w:spacing w:before="0" w:after="0" w:line="408" w:lineRule="exact"/>
        <w:ind w:left="0" w:right="0" w:firstLine="576"/>
        <w:jc w:val="left"/>
      </w:pPr>
      <w:r>
        <w:rPr/>
        <w:t xml:space="preserve">(i) Meets the criteria for "substantial nexus" pursuant to RCW 82.04.067;</w:t>
      </w:r>
    </w:p>
    <w:p>
      <w:pPr>
        <w:spacing w:before="0" w:after="0" w:line="408" w:lineRule="exact"/>
        <w:ind w:left="0" w:right="0" w:firstLine="576"/>
        <w:jc w:val="left"/>
      </w:pPr>
      <w:r>
        <w:rPr/>
        <w:t xml:space="preserve">(ii) Provides a Washington address on the applicable patent application; or</w:t>
      </w:r>
    </w:p>
    <w:p>
      <w:pPr>
        <w:spacing w:before="0" w:after="0" w:line="408" w:lineRule="exact"/>
        <w:ind w:left="0" w:right="0" w:firstLine="576"/>
        <w:jc w:val="left"/>
      </w:pPr>
      <w:r>
        <w:rPr/>
        <w:t xml:space="preserve">(iii) Holds a Washington business license.</w:t>
      </w:r>
    </w:p>
    <w:p>
      <w:pPr>
        <w:spacing w:before="0" w:after="0" w:line="408" w:lineRule="exact"/>
        <w:ind w:left="0" w:right="0" w:firstLine="576"/>
        <w:jc w:val="left"/>
      </w:pPr>
      <w:r>
        <w:rPr/>
        <w:t xml:space="preserve">(b) "Qualified expenditures" means any expenditures directly related to the manufacture of a patented product, utilizing a patented process, or otherwise utilizing the patent in manufacturing in Washington. This includes, but is not limited to, costs associated with constructing or remodeling manufacturing facilities, the cost of research and development associated with the patent, and operating expenses, including wages.</w:t>
      </w:r>
    </w:p>
    <w:p>
      <w:pPr>
        <w:spacing w:before="0" w:after="0" w:line="408" w:lineRule="exact"/>
        <w:ind w:left="0" w:right="0" w:firstLine="576"/>
        <w:jc w:val="left"/>
      </w:pPr>
      <w:r>
        <w:rPr/>
        <w:t xml:space="preserve">(5) To claim a credit under this section, a person must file with the department all returns, forms, and any other information required by the department, in an electronic format as provided or approved by the department. Any return, form, or information required to be filed in an electronic form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(6)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(7) Beginning January 1, 2020, this section applies to taxes due for all calendar years through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1ce5676f5abe4d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57a1c4800a4609" /><Relationship Type="http://schemas.openxmlformats.org/officeDocument/2006/relationships/footer" Target="/word/footer1.xml" Id="R1ce5676f5abe4d0e" /></Relationships>
</file>