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c60b0bcd147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Ormsby, Riccelli,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70.41.470, and 70.170.060; adding a new section to chapter 43.70 RCW; adding a new section to chapter 70.230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w:t>
      </w:r>
    </w:p>
    <w:p>
      <w:pPr>
        <w:spacing w:before="0" w:after="0" w:line="408" w:lineRule="exact"/>
        <w:ind w:left="0" w:right="0" w:firstLine="576"/>
        <w:jc w:val="left"/>
      </w:pPr>
      <w:r>
        <w:rPr>
          <w:u w:val="single"/>
        </w:rPr>
        <w:t xml:space="preserve">(b)</w:t>
      </w:r>
      <w:r>
        <w:rPr/>
        <w:t xml:space="preserve">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one million dollars or more; or (B) representing one percent or more of the total expenses or total revenues; or</w:t>
      </w:r>
    </w:p>
    <w:p>
      <w:pPr>
        <w:spacing w:before="0" w:after="0" w:line="408" w:lineRule="exact"/>
        <w:ind w:left="0" w:right="0" w:firstLine="576"/>
        <w:jc w:val="left"/>
      </w:pPr>
      <w:r>
        <w:rPr>
          <w:u w:val="single"/>
        </w:rPr>
        <w:t xml:space="preserve">(ii) A hospital designated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One million dollars; or (B) one percent or more of the total expenses or total revenues.</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(7)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rPr/>
        <w:t xml:space="preserve">(7)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(8)(b)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(8) Recipients of data under subsection (7)(a)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(9) Recipients of data under subsection (7)(b)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(11)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 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u w:val="single"/>
        </w:rPr>
        <w:t xml:space="preserve">(c) Each hospital subject to the requirements of subsection (1) of this section must make widely available to the public an addendum to its 990 schedule H form, the following information related to the ten community benefits and community building activities with the highest costs for each hospital designated as a critical access hospital or sole community hospital, and for all other hospitals, the twenty community benefits and community building activities with the highest costs:</w:t>
      </w:r>
    </w:p>
    <w:p>
      <w:pPr>
        <w:spacing w:before="0" w:after="0" w:line="408" w:lineRule="exact"/>
        <w:ind w:left="0" w:right="0" w:firstLine="576"/>
        <w:jc w:val="left"/>
      </w:pPr>
      <w:r>
        <w:rPr>
          <w:u w:val="single"/>
        </w:rPr>
        <w:t xml:space="preserve">(i) Descriptions of the activities provided and costs of providing each of those activities;</w:t>
      </w:r>
    </w:p>
    <w:p>
      <w:pPr>
        <w:spacing w:before="0" w:after="0" w:line="408" w:lineRule="exact"/>
        <w:ind w:left="0" w:right="0" w:firstLine="576"/>
        <w:jc w:val="left"/>
      </w:pPr>
      <w:r>
        <w:rPr>
          <w:u w:val="single"/>
        </w:rPr>
        <w:t xml:space="preserve">(ii) The community health needs assessment implementation strategy that is the basis for the activities;</w:t>
      </w:r>
    </w:p>
    <w:p>
      <w:pPr>
        <w:spacing w:before="0" w:after="0" w:line="408" w:lineRule="exact"/>
        <w:ind w:left="0" w:right="0" w:firstLine="576"/>
        <w:jc w:val="left"/>
      </w:pPr>
      <w:r>
        <w:rPr>
          <w:u w:val="single"/>
        </w:rPr>
        <w:t xml:space="preserve">(iii) The zip codes in the hospital's service area; and</w:t>
      </w:r>
    </w:p>
    <w:p>
      <w:pPr>
        <w:spacing w:before="0" w:after="0" w:line="408" w:lineRule="exact"/>
        <w:ind w:left="0" w:right="0" w:firstLine="576"/>
        <w:jc w:val="left"/>
      </w:pPr>
      <w:r>
        <w:rPr>
          <w:u w:val="single"/>
        </w:rPr>
        <w:t xml:space="preserve">(iv) How medically underserved, low-income, and minority, or chronically ill populations were served.</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w:t>
      </w:r>
      <w:r>
        <w:rPr>
          <w:u w:val="single"/>
        </w:rPr>
        <w:t xml:space="preserve">(a)</w:t>
      </w:r>
      <w:r>
        <w:rPr/>
        <w:t xml:space="preserve">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(b) The hospital must post notice regarding the information in (b)(i) and (ii) of this subsection on the hospital's web site if:</w:t>
      </w:r>
    </w:p>
    <w:p>
      <w:pPr>
        <w:spacing w:before="0" w:after="0" w:line="408" w:lineRule="exact"/>
        <w:ind w:left="0" w:right="0" w:firstLine="576"/>
        <w:jc w:val="left"/>
      </w:pPr>
      <w:r>
        <w:rPr>
          <w:u w:val="single"/>
        </w:rPr>
        <w:t xml:space="preserve">(i) The hospital owns, in part or in full, a debt collection agency; or</w:t>
      </w:r>
    </w:p>
    <w:p>
      <w:pPr>
        <w:spacing w:before="0" w:after="0" w:line="408" w:lineRule="exact"/>
        <w:ind w:left="0" w:right="0" w:firstLine="576"/>
        <w:jc w:val="left"/>
      </w:pPr>
      <w:r>
        <w:rPr>
          <w:u w:val="single"/>
        </w:rPr>
        <w:t xml:space="preserve">(ii) The hospital or health system and a debt collection agency exchange revenues exceeding the amount a consumer owed related to medical debt for the services provided and administrative costs and fees of collecting the debt.</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shall require ambulatory surgical facilities to annually report the following information in a format established by the department:</w:t>
      </w:r>
    </w:p>
    <w:p>
      <w:pPr>
        <w:spacing w:before="0" w:after="0" w:line="408" w:lineRule="exact"/>
        <w:ind w:left="0" w:right="0" w:firstLine="576"/>
        <w:jc w:val="left"/>
      </w:pPr>
      <w:r>
        <w:rPr/>
        <w:t xml:space="preserve">(1) The number of patient encounters;</w:t>
      </w:r>
    </w:p>
    <w:p>
      <w:pPr>
        <w:spacing w:before="0" w:after="0" w:line="408" w:lineRule="exact"/>
        <w:ind w:left="0" w:right="0" w:firstLine="576"/>
        <w:jc w:val="left"/>
      </w:pPr>
      <w:r>
        <w:rPr/>
        <w:t xml:space="preserve">(2) Utilization data by service provided, including the following 
categories: Primary care, specialty care, urgent care, or surgery, as well as virtual care appointments by medium;</w:t>
      </w:r>
    </w:p>
    <w:p>
      <w:pPr>
        <w:spacing w:before="0" w:after="0" w:line="408" w:lineRule="exact"/>
        <w:ind w:left="0" w:right="0" w:firstLine="576"/>
        <w:jc w:val="left"/>
      </w:pPr>
      <w:r>
        <w:rPr/>
        <w:t xml:space="preserve">(3) Acquisitions of diagnostic or therapeutic equipment during the reporting period with a value in excess of five hundred thousand dollars; and</w:t>
      </w:r>
    </w:p>
    <w:p>
      <w:pPr>
        <w:spacing w:before="0" w:after="0" w:line="408" w:lineRule="exact"/>
        <w:ind w:left="0" w:right="0" w:firstLine="576"/>
        <w:jc w:val="left"/>
      </w:pPr>
      <w:r>
        <w:rPr/>
        <w:t xml:space="preserve">(4) Commencement of projects during the reporting period that require a capital expenditure for the facility in excess of one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224d2d4e78d48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5c9eca0d1440a" /><Relationship Type="http://schemas.openxmlformats.org/officeDocument/2006/relationships/footer" Target="/word/footer1.xml" Id="R6224d2d4e78d485f" /></Relationships>
</file>