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4195318f4486" /></Relationships>
</file>

<file path=word/document.xml><?xml version="1.0" encoding="utf-8"?>
<w:document xmlns:w="http://schemas.openxmlformats.org/wordprocessingml/2006/main">
  <w:body>
    <w:p>
      <w:r>
        <w:t>H-1555.1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Davis, Pellicciotti, Goodman, Appleton, Sutherland, Graham, Klippert, Leavitt, and Pollet</w:t>
      </w:r>
    </w:p>
    <w:p/>
    <w:p>
      <w:r>
        <w:rPr>
          <w:t xml:space="preserve">Read first time 02/15/19.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restrictions on driver's licenses associated with certain criminal offenses; and amending RCW 46.20.285.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in the commission of which a motor vehicle is used</w:t>
      </w:r>
      <w:r>
        <w:rPr>
          <w:u w:val="single"/>
        </w:rPr>
        <w:t xml:space="preserve">, if the sentencing court has entered an order requiring revocation of the driver's license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ad34d14b42417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2bdfceb3d46c9" /><Relationship Type="http://schemas.openxmlformats.org/officeDocument/2006/relationships/footer" Target="/word/footer1.xml" Id="R7ead34d14b424175" /></Relationships>
</file>