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96504309cc4a9a" /></Relationships>
</file>

<file path=word/document.xml><?xml version="1.0" encoding="utf-8"?>
<w:document xmlns:w="http://schemas.openxmlformats.org/wordprocessingml/2006/main">
  <w:body>
    <w:p>
      <w:r>
        <w:t>H-1922.1</w:t>
      </w:r>
    </w:p>
    <w:p>
      <w:pPr>
        <w:jc w:val="center"/>
      </w:pPr>
      <w:r>
        <w:t>_______________________________________________</w:t>
      </w:r>
    </w:p>
    <w:p/>
    <w:p>
      <w:pPr>
        <w:jc w:val="center"/>
      </w:pPr>
      <w:r>
        <w:rPr>
          <w:b/>
        </w:rPr>
        <w:t>SUBSTITUTE HOUSE BILL 2099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Irwin and Jinkins)</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video technology under the involuntary treatment act; amending RCW 71.05.150, 71.05.150, 71.05.153, 71.05.153, 71.05.235, and 71.05.310; reenacting and amending RCW 71.05.020;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"Chemical dependency professional" means a person certified as a chemical dependency professional by the department under chapter 18.205 RCW;</w:t>
      </w:r>
    </w:p>
    <w:p>
      <w:pPr>
        <w:spacing w:before="0" w:after="0" w:line="408" w:lineRule="exact"/>
        <w:ind w:left="0" w:right="0" w:firstLine="576"/>
        <w:jc w:val="left"/>
      </w:pPr>
      <w:r>
        <w:rPr/>
        <w:t xml:space="preserve">(9)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(10) "Conditional release" means a revocable modification of a commitment, which may be revoked upon violation of any of its terms;</w:t>
      </w:r>
    </w:p>
    <w:p>
      <w:pPr>
        <w:spacing w:before="0" w:after="0" w:line="408" w:lineRule="exact"/>
        <w:ind w:left="0" w:right="0" w:firstLine="576"/>
        <w:jc w:val="left"/>
      </w:pPr>
      <w:r>
        <w:rPr/>
        <w:t xml:space="preserve">(11)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(12)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(13) "Department" means the department of health;</w:t>
      </w:r>
    </w:p>
    <w:p>
      <w:pPr>
        <w:spacing w:before="0" w:after="0" w:line="408" w:lineRule="exact"/>
        <w:ind w:left="0" w:right="0" w:firstLine="576"/>
        <w:jc w:val="left"/>
      </w:pPr>
      <w:r>
        <w:rPr/>
        <w:t xml:space="preserve">(14)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rPr/>
        <w:t xml:space="preserve">(15) "Detention" or "detain" means the lawful confinement of a person, under the provisions of this chapter;</w:t>
      </w:r>
    </w:p>
    <w:p>
      <w:pPr>
        <w:spacing w:before="0" w:after="0" w:line="408" w:lineRule="exact"/>
        <w:ind w:left="0" w:right="0" w:firstLine="576"/>
        <w:jc w:val="left"/>
      </w:pPr>
      <w:r>
        <w:rPr/>
        <w:t xml:space="preserve">(16)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(17) "Developmental disability" means that condition defined in RCW 71A.10.020(5);</w:t>
      </w:r>
    </w:p>
    <w:p>
      <w:pPr>
        <w:spacing w:before="0" w:after="0" w:line="408" w:lineRule="exact"/>
        <w:ind w:left="0" w:right="0" w:firstLine="576"/>
        <w:jc w:val="left"/>
      </w:pPr>
      <w:r>
        <w:rPr/>
        <w:t xml:space="preserve">(18) "Director" means the director of the authority;</w:t>
      </w:r>
    </w:p>
    <w:p>
      <w:pPr>
        <w:spacing w:before="0" w:after="0" w:line="408" w:lineRule="exact"/>
        <w:ind w:left="0" w:right="0" w:firstLine="576"/>
        <w:jc w:val="left"/>
      </w:pPr>
      <w:r>
        <w:rPr/>
        <w:t xml:space="preserve">(19)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(21)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(22)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(23)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(24)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(25)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(26) "Imminent" means the state or condition of being likely to occur at any moment or near at hand, rather than distant or remote;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(31) "Judicial commitment" means a commitment by a court pursuant to the provisions of this chapter;</w:t>
      </w:r>
    </w:p>
    <w:p>
      <w:pPr>
        <w:spacing w:before="0" w:after="0" w:line="408" w:lineRule="exact"/>
        <w:ind w:left="0" w:right="0" w:firstLine="576"/>
        <w:jc w:val="left"/>
      </w:pPr>
      <w:r>
        <w:rPr/>
        <w:t xml:space="preserve">(32)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(33)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(34) "Licensed physician" means a person licensed to practice medicine or osteopathic medicine and surgery in the state of Washington;</w:t>
      </w:r>
    </w:p>
    <w:p>
      <w:pPr>
        <w:spacing w:before="0" w:after="0" w:line="408" w:lineRule="exact"/>
        <w:ind w:left="0" w:right="0" w:firstLine="576"/>
        <w:jc w:val="left"/>
      </w:pPr>
      <w:r>
        <w:rPr/>
        <w:t xml:space="preserve">(35)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(36)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(37)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(38)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(39)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(40)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(41) "Physician assistant" means a person licensed as a physician assistant under chapter 18.57A or 18.71A RCW;</w:t>
      </w:r>
    </w:p>
    <w:p>
      <w:pPr>
        <w:spacing w:before="0" w:after="0" w:line="408" w:lineRule="exact"/>
        <w:ind w:left="0" w:right="0" w:firstLine="576"/>
        <w:jc w:val="left"/>
      </w:pPr>
      <w:r>
        <w:rPr/>
        <w:t xml:space="preserve">(42)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(43)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(44)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(45)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(46) "Psychologist" means a person who has been licensed as a psychologist pursuant to chapter 18.83 RCW;</w:t>
      </w:r>
    </w:p>
    <w:p>
      <w:pPr>
        <w:spacing w:before="0" w:after="0" w:line="408" w:lineRule="exact"/>
        <w:ind w:left="0" w:right="0" w:firstLine="576"/>
        <w:jc w:val="left"/>
      </w:pPr>
      <w:r>
        <w:rPr/>
        <w:t xml:space="preserve">(47)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(48) "Release" means legal termination of the commitment under the provisions of this chapter;</w:t>
      </w:r>
    </w:p>
    <w:p>
      <w:pPr>
        <w:spacing w:before="0" w:after="0" w:line="408" w:lineRule="exact"/>
        <w:ind w:left="0" w:right="0" w:firstLine="576"/>
        <w:jc w:val="left"/>
      </w:pPr>
      <w:r>
        <w:rPr/>
        <w:t xml:space="preserve">(49) "Resource management services" has the meaning given in chapter 71.24 RCW;</w:t>
      </w:r>
    </w:p>
    <w:p>
      <w:pPr>
        <w:spacing w:before="0" w:after="0" w:line="408" w:lineRule="exact"/>
        <w:ind w:left="0" w:right="0" w:firstLine="576"/>
        <w:jc w:val="left"/>
      </w:pPr>
      <w:r>
        <w:rPr/>
        <w:t xml:space="preserve">(50) "Secretary" means the secretary of the department of health, or his or her designee;</w:t>
      </w:r>
    </w:p>
    <w:p>
      <w:pPr>
        <w:spacing w:before="0" w:after="0" w:line="408" w:lineRule="exact"/>
        <w:ind w:left="0" w:right="0" w:firstLine="576"/>
        <w:jc w:val="left"/>
      </w:pPr>
      <w:r>
        <w:rPr/>
        <w:t xml:space="preserve">(51)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rPr/>
        <w:t xml:space="preserve">(52) "Serious violent offense" has the same meaning as provided in RCW 9.94A.030;</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means the delivery of health care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2018 c 291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212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sp.s. c 29 s 213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10.77.088(1)(c)(i),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this chapter.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conduct a hearing on the petition for ninety-day treatment within five judicial days of the first court appearance after the probable cause hearing, or within ten judicial days for a petition filed under RCW 71.05.280(3). The court may continue the hearing 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 If the person named in the petition requests a jury trial, the trial shall commence within ten judicial days of the first court appearance after the probable cause hearing.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treated until released by order of the superior court. If no order has been made within thirty days after the filing of the petition, not including extensions of time requested by the detained person or his or her attorney, or the petitioner in the case of a petition filed under RCW 71.05.280(3), the detained person shall be released.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
      <w:pPr>
        <w:jc w:val="center"/>
      </w:pPr>
      <w:r>
        <w:rPr>
          <w:b/>
        </w:rPr>
        <w:t>--- END ---</w:t>
      </w:r>
    </w:p>
    <w:sectPr>
      <w:pgNumType w:start="1"/>
      <w:footerReference xmlns:r="http://schemas.openxmlformats.org/officeDocument/2006/relationships" r:id="R2fc275b593e44e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68172ad9424b63" /><Relationship Type="http://schemas.openxmlformats.org/officeDocument/2006/relationships/footer" Target="/word/footer1.xml" Id="R2fc275b593e44eeb" /></Relationships>
</file>