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e1660b9a64994" /></Relationships>
</file>

<file path=word/document.xml><?xml version="1.0" encoding="utf-8"?>
<w:document xmlns:w="http://schemas.openxmlformats.org/wordprocessingml/2006/main">
  <w:body>
    <w:p>
      <w:r>
        <w:t>H-2440.2</w:t>
      </w:r>
    </w:p>
    <w:p>
      <w:pPr>
        <w:jc w:val="center"/>
      </w:pPr>
      <w:r>
        <w:t>_______________________________________________</w:t>
      </w:r>
    </w:p>
    <w:p/>
    <w:p>
      <w:pPr>
        <w:jc w:val="center"/>
      </w:pPr>
      <w:r>
        <w:rPr>
          <w:b/>
        </w:rPr>
        <w:t>HOUSE BILL 2157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Sullivan, Ormsby, Bergquist, Robinson, Appleton, Dolan, Frame, Macri, Pollet, and Tharinger</w:t>
      </w:r>
    </w:p>
    <w:p/>
    <w:p>
      <w:r>
        <w:rPr>
          <w:t xml:space="preserve">Read first time 03/26/19.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Washington tax structure to address the needs of Washingtonians; amending RCW 82.04.260, 82.08.0273, 84.36.381, 84.36.383, 84.36.385, 84.38.020, 84.38.070, 84.38.130, and 84.38.150; reenacting and amending RCW 84.38.030; adding a new section to chapter 82.32 RCW; creating new sections; repealing RCW 82.04.062; prescribing penalties;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Washington tax structure was developed in the early twentieth century and has been amended over time to include many tax preferences that benefit select taxpayers. The legislature further finds that we must ensure our tax structure is equitable, stable, transparent, and adequate in light of the modernizing economy, our states' extraordinary population growth, and the changing economic reality we currently face as individuals, communities, businesses, and the state.</w:t>
      </w:r>
    </w:p>
    <w:p>
      <w:pPr>
        <w:spacing w:before="0" w:after="0" w:line="408" w:lineRule="exact"/>
        <w:ind w:left="0" w:right="0" w:firstLine="576"/>
        <w:jc w:val="left"/>
      </w:pPr>
      <w:r>
        <w:rPr/>
        <w:t xml:space="preserve">(2) The legislature finds that the tax structure has driven individual taxpayers and businesses to seek relief from state and local taxes. Over the years, the legislature has adopted approximately seven hundred tax preferences. Although some of those tax preferences have a broad and positive impact, such as the voter-approved decision to exempt food from the sales tax and the property tax relief programs for the most vulnerable members of our communities, many preferences are targeted to benefit a very small number of taxpayers. By requiring a series of preferences to mitigate its unintended consequences, the state's tax structure has created structural deficits, instability, and sets of "winners" and "losers" within the code.</w:t>
      </w:r>
    </w:p>
    <w:p>
      <w:pPr>
        <w:spacing w:before="0" w:after="0" w:line="408" w:lineRule="exact"/>
        <w:ind w:left="0" w:right="0" w:firstLine="576"/>
        <w:jc w:val="left"/>
      </w:pPr>
      <w:r>
        <w:rPr/>
        <w:t xml:space="preserve">(3) Therefore, it is the intent of the legislature to modernize and rebalance our state tax structure by repealing and modifying tax preferences that either no longer support the economic vitality of the state or the quality of life for the most vulnerable members of our communities and revaluating the state tax structure.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Repealing Bullion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201 of this act does not affect any existing right acquired or liability or obligation incurred under the statute repealed or under any rule or order adopted under that statute nor does it affect any proceeding instituted under the repealed statute.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Preferential Business and Occupation</w:t>
      </w:r>
    </w:p>
    <w:p>
      <w:pPr>
        <w:spacing w:before="0" w:after="0" w:line="408" w:lineRule="exact"/>
        <w:ind w:left="0" w:right="0" w:firstLine="576"/>
        <w:jc w:val="center"/>
      </w:pPr>
      <w:r>
        <w:rPr>
          <w:b/>
        </w:rPr>
        <w:t xml:space="preserve">Tax for Travel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w:t>
      </w:r>
      <w:r>
        <w:t>((</w:t>
      </w:r>
      <w:r>
        <w:rPr>
          <w:strike/>
        </w:rPr>
        <w:t xml:space="preserve">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strike/>
        </w:rPr>
        <w:t xml:space="preserve">(6)</w:t>
      </w:r>
      <w:r>
        <w:t>))</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tax performance report with the department under RCW 82.32.534.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 sales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his or her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w:t>
      </w:r>
    </w:p>
    <w:p>
      <w:pPr>
        <w:spacing w:before="0" w:after="0" w:line="408" w:lineRule="exact"/>
        <w:ind w:left="0" w:right="0" w:firstLine="576"/>
        <w:jc w:val="left"/>
      </w:pPr>
      <w:r>
        <w:rPr>
          <w:u w:val="single"/>
        </w:rPr>
        <w:t xml:space="preserve">(i) Liable for repayment of the remittance, including interest as provided in chapter 82.32 RCW from the date the remittance was transmitted to the person until repaid in full;</w:t>
      </w:r>
    </w:p>
    <w:p>
      <w:pPr>
        <w:spacing w:before="0" w:after="0" w:line="408" w:lineRule="exact"/>
        <w:ind w:left="0" w:right="0" w:firstLine="576"/>
        <w:jc w:val="left"/>
      </w:pPr>
      <w:r>
        <w:rPr>
          <w:u w:val="single"/>
        </w:rPr>
        <w:t xml:space="preserve">(ii) Liable for a civil penalty equal to the greater of one hundred dollars or the amount of the remittance obtained in violation of this subsection (5)(b); and</w:t>
      </w:r>
    </w:p>
    <w:p>
      <w:pPr>
        <w:spacing w:before="0" w:after="0" w:line="408" w:lineRule="exact"/>
        <w:ind w:left="0" w:right="0" w:firstLine="576"/>
        <w:jc w:val="left"/>
      </w:pPr>
      <w:r>
        <w:rPr>
          <w:u w:val="single"/>
        </w:rPr>
        <w:t xml:space="preserve">(iii)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Expanding the Senior Citizen Property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Tax Structure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department of revenue, with assistance of a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(a)(ii) and (iii) of this subsection; and</w:t>
      </w:r>
    </w:p>
    <w:p>
      <w:pPr>
        <w:spacing w:before="0" w:after="0" w:line="408" w:lineRule="exact"/>
        <w:ind w:left="0" w:right="0" w:firstLine="576"/>
        <w:jc w:val="left"/>
      </w:pPr>
      <w:r>
        <w:rPr/>
        <w:t xml:space="preserve">(v) Estimate how much revenue would have been generated in the 2017-2019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biennium, had Washington adopted the tax structure of those states, assuming the economic tax base for the 2017-2019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(8) To assist the work group with its duties, the department of revenue must create one or more technical advisory group(s) that:</w:t>
      </w:r>
    </w:p>
    <w:p>
      <w:pPr>
        <w:spacing w:before="0" w:after="0" w:line="408" w:lineRule="exact"/>
        <w:ind w:left="0" w:right="0" w:firstLine="576"/>
        <w:jc w:val="left"/>
      </w:pPr>
      <w:r>
        <w:rPr/>
        <w:t xml:space="preserve">(a) Must include at least one:</w:t>
      </w:r>
    </w:p>
    <w:p>
      <w:pPr>
        <w:spacing w:before="0" w:after="0" w:line="408" w:lineRule="exact"/>
        <w:ind w:left="0" w:right="0" w:firstLine="576"/>
        <w:jc w:val="left"/>
      </w:pPr>
      <w:r>
        <w:rPr/>
        <w:t xml:space="preserve">(i) Academic scholar from research institutions in the fields of economics, taxation, business administration, public administration, public policy, or other relevant disciplines as determined by the work group;</w:t>
      </w:r>
    </w:p>
    <w:p>
      <w:pPr>
        <w:spacing w:before="0" w:after="0" w:line="408" w:lineRule="exact"/>
        <w:ind w:left="0" w:right="0" w:firstLine="576"/>
        <w:jc w:val="left"/>
      </w:pPr>
      <w:r>
        <w:rPr/>
        <w:t xml:space="preserve">(ii) Academic scholar or other recognized expert in the fields of artificial intelligence, the automated economy, or labor primarily provided on a freelance or temporary basis;</w:t>
      </w:r>
    </w:p>
    <w:p>
      <w:pPr>
        <w:spacing w:before="0" w:after="0" w:line="408" w:lineRule="exact"/>
        <w:ind w:left="0" w:right="0" w:firstLine="576"/>
        <w:jc w:val="left"/>
      </w:pPr>
      <w:r>
        <w:rPr/>
        <w:t xml:space="preserve">(iii) Expert in international trade;</w:t>
      </w:r>
    </w:p>
    <w:p>
      <w:pPr>
        <w:spacing w:before="0" w:after="0" w:line="408" w:lineRule="exact"/>
        <w:ind w:left="0" w:right="0" w:firstLine="576"/>
        <w:jc w:val="left"/>
      </w:pPr>
      <w:r>
        <w:rPr/>
        <w:t xml:space="preserve">(iv) Expert in economic theory; and</w:t>
      </w:r>
    </w:p>
    <w:p>
      <w:pPr>
        <w:spacing w:before="0" w:after="0" w:line="408" w:lineRule="exact"/>
        <w:ind w:left="0" w:right="0" w:firstLine="576"/>
        <w:jc w:val="left"/>
      </w:pPr>
      <w:r>
        <w:rPr/>
        <w:t xml:space="preserve">(v) Tax law practitioner, such as a certified public accountant, tax attorney, or other tax preparation professional; and</w:t>
      </w:r>
    </w:p>
    <w:p>
      <w:pPr>
        <w:spacing w:before="0" w:after="0" w:line="408" w:lineRule="exact"/>
        <w:ind w:left="0" w:right="0" w:firstLine="576"/>
        <w:jc w:val="left"/>
      </w:pPr>
      <w:r>
        <w:rPr/>
        <w:t xml:space="preserve">(b) May include academic scholars and experts from regional universities and community and technical colleges from diverse regions across the state in the fields of economics, taxation, business administration, public administration, and public policy. The department must ensure that the perspective of different regional economies are represented by members of the technical advisory group.</w:t>
      </w:r>
    </w:p>
    <w:p>
      <w:pPr>
        <w:spacing w:before="0" w:after="0" w:line="408" w:lineRule="exact"/>
        <w:ind w:left="0" w:right="0" w:firstLine="576"/>
        <w:jc w:val="left"/>
      </w:pPr>
      <w:r>
        <w:rPr/>
        <w:t xml:space="preserve">(9) Per the recommendations of the 2018 tax structure work group, the work group is required to develop policy proposals for consideration by the appropriate fiscal committees of the legislature. Any policy proposals developed by the work group may include the analysis done under subsection (7) of this section but proposals are not limited to only the analysis done by the department. Any policy proposals made to the legislature may not result in a loss of revenue to the state as compared to the most recent biennial revenue forecast published by the economic and revenue forecast council. In developing the policy proposals, the work group must be guided by principles for a well-designed tax system, namely, equity, adequacy, stability, and transparency, and address the following key challenges of the Washington state tax structure, as identified by the 2018 report of the tax structure work group:</w:t>
      </w:r>
    </w:p>
    <w:p>
      <w:pPr>
        <w:spacing w:before="0" w:after="0" w:line="408" w:lineRule="exact"/>
        <w:ind w:left="0" w:right="0" w:firstLine="576"/>
        <w:jc w:val="left"/>
      </w:pPr>
      <w:r>
        <w:rPr/>
        <w:t xml:space="preserve">(a) Regressive nature of the tax code;</w:t>
      </w:r>
    </w:p>
    <w:p>
      <w:pPr>
        <w:spacing w:before="0" w:after="0" w:line="408" w:lineRule="exact"/>
        <w:ind w:left="0" w:right="0" w:firstLine="576"/>
        <w:jc w:val="left"/>
      </w:pPr>
      <w:r>
        <w:rPr/>
        <w:t xml:space="preserve">(b) Negative impact of the business and occupation tax on small, start-up, and low-margin businesses;</w:t>
      </w:r>
    </w:p>
    <w:p>
      <w:pPr>
        <w:spacing w:before="0" w:after="0" w:line="408" w:lineRule="exact"/>
        <w:ind w:left="0" w:right="0" w:firstLine="576"/>
        <w:jc w:val="left"/>
      </w:pPr>
      <w:r>
        <w:rPr/>
        <w:t xml:space="preserve">(c) Need to modernize the tax structure to reflect the changing economy; and</w:t>
      </w:r>
    </w:p>
    <w:p>
      <w:pPr>
        <w:spacing w:before="0" w:after="0" w:line="408" w:lineRule="exact"/>
        <w:ind w:left="0" w:right="0" w:firstLine="576"/>
        <w:jc w:val="left"/>
      </w:pPr>
      <w:r>
        <w:rPr/>
        <w:t xml:space="preserve">(d) Excessive number of tax preferences and exemptions.</w:t>
      </w:r>
    </w:p>
    <w:p>
      <w:pPr>
        <w:spacing w:before="0" w:after="0" w:line="408" w:lineRule="exact"/>
        <w:ind w:left="0" w:right="0" w:firstLine="576"/>
        <w:jc w:val="left"/>
      </w:pPr>
      <w:r>
        <w:rPr/>
        <w:t xml:space="preserve">(10) The work group must complete its duties on the following schedule:</w:t>
      </w:r>
    </w:p>
    <w:p>
      <w:pPr>
        <w:spacing w:before="0" w:after="0" w:line="408" w:lineRule="exact"/>
        <w:ind w:left="0" w:right="0" w:firstLine="576"/>
        <w:jc w:val="left"/>
      </w:pPr>
      <w:r>
        <w:rPr/>
        <w:t xml:space="preserve">(a) By December 31,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of revenue and technical advisory group must prepare a summary report of their preliminary findings and alternatives as described in subsection (7) of this 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subsection (7) of this section. At least one meeting must engage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(d) of this subsection;</w:t>
      </w:r>
    </w:p>
    <w:p>
      <w:pPr>
        <w:spacing w:before="0" w:after="0" w:line="408" w:lineRule="exact"/>
        <w:ind w:left="0" w:right="0" w:firstLine="576"/>
        <w:jc w:val="left"/>
      </w:pPr>
      <w:r>
        <w:rPr/>
        <w:t xml:space="preserve">(iii) Present the summary report described in (b)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summary report described in (b)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described in (b) of this subsection, and collecting feedback to inform development of recommendations; and</w:t>
      </w:r>
    </w:p>
    <w:p>
      <w:pPr>
        <w:spacing w:before="0" w:after="0" w:line="408" w:lineRule="exact"/>
        <w:ind w:left="0" w:right="0" w:firstLine="576"/>
        <w:jc w:val="left"/>
      </w:pPr>
      <w:r>
        <w:rPr/>
        <w:t xml:space="preserve">(v)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findings described in (b)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(b)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findings and reports described in (b)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(b) of this subsection and the feedback received from taxpayers as reflected in the report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(11)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(12)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(13) This section expires December 31, 2024.</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Part V of 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III, IV, and VI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c1eec7c7cdc946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673ab47a94cec" /><Relationship Type="http://schemas.openxmlformats.org/officeDocument/2006/relationships/footer" Target="/word/footer1.xml" Id="Rc1eec7c7cdc9462a" /></Relationships>
</file>