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85bb5f7324a0f" /></Relationships>
</file>

<file path=word/document.xml><?xml version="1.0" encoding="utf-8"?>
<w:document xmlns:w="http://schemas.openxmlformats.org/wordprocessingml/2006/main">
  <w:body>
    <w:p>
      <w:r>
        <w:t>Z-0695.2</w:t>
      </w:r>
    </w:p>
    <w:p>
      <w:pPr>
        <w:jc w:val="center"/>
      </w:pPr>
      <w:r>
        <w:t>_______________________________________________</w:t>
      </w:r>
    </w:p>
    <w:p/>
    <w:p>
      <w:pPr>
        <w:jc w:val="center"/>
      </w:pPr>
      <w:r>
        <w:rPr>
          <w:b/>
        </w:rPr>
        <w:t>HOUSE BILL 2208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Kirby; by request of Insurance Commissioner</w:t>
      </w:r>
    </w:p>
    <w:p/>
    <w:p>
      <w:r>
        <w:rPr>
          <w:t xml:space="preserve">Prefiled 12/06/19.</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credits and performance standards; amending RCW 48.30.140 and 48.30.150; adding new sections to chapter 48.30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w:t>
      </w:r>
      <w:r>
        <w:t>((</w:t>
      </w:r>
      <w:r>
        <w:rPr>
          <w:strike/>
        </w:rPr>
        <w:t xml:space="preserve">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(8) </w:t>
      </w:r>
      <w:r>
        <w:t>((</w:t>
      </w:r>
      <w:r>
        <w:rPr>
          <w:strike/>
        </w:rPr>
        <w:t xml:space="preserve">Subsection (7)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w:t>
      </w:r>
      <w:r>
        <w:t>((</w:t>
      </w:r>
      <w:r>
        <w:rPr>
          <w:strike/>
        </w:rPr>
        <w:t xml:space="preserve">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(5) </w:t>
      </w:r>
      <w:r>
        <w:t>((</w:t>
      </w:r>
      <w:r>
        <w:rPr>
          <w:strike/>
        </w:rPr>
        <w:t xml:space="preserve">Subsection (4)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insurer must describe any implementation credits provided to a policyholder, along with the process that the policyholder must follow to document an expense in order for it to be paid, in the group insurance policy. The insurer must file the policy with the commissioner. An implementation credit is part of the premium for the purposes of RCW 48.14.020 and 48.14.0201, and must be included in the rate schedule for the policy.</w:t>
      </w:r>
    </w:p>
    <w:p>
      <w:pPr>
        <w:spacing w:before="0" w:after="0" w:line="408" w:lineRule="exact"/>
        <w:ind w:left="0" w:right="0" w:firstLine="576"/>
        <w:jc w:val="left"/>
      </w:pPr>
      <w:r>
        <w:rPr/>
        <w:t xml:space="preserve">(2) The dollar amount of implementation credits offered to a policyholder must be based on the size of the group plan being implemented, as described in this subsection:</w:t>
      </w:r>
    </w:p>
    <w:p>
      <w:pPr>
        <w:spacing w:before="0" w:after="0" w:line="408" w:lineRule="exact"/>
        <w:ind w:left="0" w:right="0" w:firstLine="576"/>
        <w:jc w:val="left"/>
      </w:pPr>
      <w:r>
        <w:rPr/>
        <w:t xml:space="preserve">(a) The policyholder for a group with more than one thousand covered lives may be offered implementation credits of up to one million dollars.</w:t>
      </w:r>
    </w:p>
    <w:p>
      <w:pPr>
        <w:spacing w:before="0" w:after="0" w:line="408" w:lineRule="exact"/>
        <w:ind w:left="0" w:right="0" w:firstLine="576"/>
        <w:jc w:val="left"/>
      </w:pPr>
      <w:r>
        <w:rPr/>
        <w:t xml:space="preserve">(b) The policyholder for a group covering fifty-one to one thousand covered lives may be offered implementation credits of up to five hundred thousand dollars.</w:t>
      </w:r>
    </w:p>
    <w:p>
      <w:pPr>
        <w:spacing w:before="0" w:after="0" w:line="408" w:lineRule="exact"/>
        <w:ind w:left="0" w:right="0" w:firstLine="576"/>
        <w:jc w:val="left"/>
      </w:pPr>
      <w:r>
        <w:rPr/>
        <w:t xml:space="preserve">(c) The policyholder for a group covering fifty or fewer covered lives may be offered implementation credits of up to fifty thousand dollars.</w:t>
      </w:r>
    </w:p>
    <w:p>
      <w:pPr>
        <w:spacing w:before="0" w:after="0" w:line="408" w:lineRule="exact"/>
        <w:ind w:left="0" w:right="0" w:firstLine="576"/>
        <w:jc w:val="left"/>
      </w:pPr>
      <w:r>
        <w:rPr/>
        <w:t xml:space="preserve">(3) An implementation credit does not need to be actuarially justified. However, the premium rate filing must include a certification by a member of the American academy of actuaries, or other person approved by the commissioner, that the implementation credit is considered in the premium development and the benefits provided are reasonable in relation to the premium charged for the contract.</w:t>
      </w:r>
    </w:p>
    <w:p>
      <w:pPr>
        <w:spacing w:before="0" w:after="0" w:line="408" w:lineRule="exact"/>
        <w:ind w:left="0" w:right="0" w:firstLine="576"/>
        <w:jc w:val="left"/>
      </w:pPr>
      <w:r>
        <w:rPr/>
        <w:t xml:space="preserve">(4) An insurer that offers implementation credits must offer them to all group policyholders that are similarly situated with regard to risk, exposure factors, and expense elements. Implementation credits offered in compliance with this subsection (4) must not be considered unfair discrimination under RCW 48.18.480.</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"Documented expenses" means expenses actually incurred by the group policyholder and invoiced to the insurer. The expenses must be reasonable given current industry practice and prevailing market rates for such expenses. RCW 48.05.280 applies to all documentation required under this section. The commissioner must develop a form that insurers must use in order to comply with this documentation requirement.</w:t>
      </w:r>
    </w:p>
    <w:p>
      <w:pPr>
        <w:spacing w:before="0" w:after="0" w:line="408" w:lineRule="exact"/>
        <w:ind w:left="0" w:right="0" w:firstLine="576"/>
        <w:jc w:val="left"/>
      </w:pPr>
      <w:r>
        <w:rPr/>
        <w:t xml:space="preserve">(b) "Implementation credit" means a payment by an insurer after an executed contract is in place to offset documented expenses incurred by a group policyholder in changing coverages from one insurer to another. Some examples of expenses that may be documented and reimbursed include but are not limited to:</w:t>
      </w:r>
    </w:p>
    <w:p>
      <w:pPr>
        <w:spacing w:before="0" w:after="0" w:line="408" w:lineRule="exact"/>
        <w:ind w:left="0" w:right="0" w:firstLine="576"/>
        <w:jc w:val="left"/>
      </w:pPr>
      <w:r>
        <w:rPr/>
        <w:t xml:space="preserve">(i) Transfer of historical experience data provided by the previous insurer to the new insurer;</w:t>
      </w:r>
    </w:p>
    <w:p>
      <w:pPr>
        <w:spacing w:before="0" w:after="0" w:line="408" w:lineRule="exact"/>
        <w:ind w:left="0" w:right="0" w:firstLine="576"/>
        <w:jc w:val="left"/>
      </w:pPr>
      <w:r>
        <w:rPr/>
        <w:t xml:space="preserve">(ii) Implementation project expenses, including project management and staffing expenses for complex implementations involving coordination with multiple systems, insurers, and entities;</w:t>
      </w:r>
    </w:p>
    <w:p>
      <w:pPr>
        <w:spacing w:before="0" w:after="0" w:line="408" w:lineRule="exact"/>
        <w:ind w:left="0" w:right="0" w:firstLine="576"/>
        <w:jc w:val="left"/>
      </w:pPr>
      <w:r>
        <w:rPr/>
        <w:t xml:space="preserve">(iii) Costs required for existing insurers and entities involved in plan management to program and establish secure data sharing systems and compliance processes with a new insurer;</w:t>
      </w:r>
    </w:p>
    <w:p>
      <w:pPr>
        <w:spacing w:before="0" w:after="0" w:line="408" w:lineRule="exact"/>
        <w:ind w:left="0" w:right="0" w:firstLine="576"/>
        <w:jc w:val="left"/>
      </w:pPr>
      <w:r>
        <w:rPr/>
        <w:t xml:space="preserve">(iv) Design, creation, printing, and mailing of member communications related to implementation or new insurer plans, services, or goods; and</w:t>
      </w:r>
    </w:p>
    <w:p>
      <w:pPr>
        <w:spacing w:before="0" w:after="0" w:line="408" w:lineRule="exact"/>
        <w:ind w:left="0" w:right="0" w:firstLine="576"/>
        <w:jc w:val="left"/>
      </w:pPr>
      <w:r>
        <w:rPr/>
        <w:t xml:space="preserve">(v) Providing new identification cards to group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or "performance guarantee" means a contractual provision in an insurance contract that establishes a specific standard for the insurer's performance of an obligation in the contract, and under which the insurer is required to remit a penalty payment, based on a percentage of the premium or a set dollar amount, to the policyholder for the next policy term if the insurer fails to comply with the standard. Policyholders and insurers may calculate the amount of penalty based on a percentage of the overall premium owed to the insurer by the policyholder.</w:t>
      </w:r>
    </w:p>
    <w:p>
      <w:pPr>
        <w:spacing w:before="0" w:after="0" w:line="408" w:lineRule="exact"/>
        <w:ind w:left="0" w:right="0" w:firstLine="576"/>
        <w:jc w:val="left"/>
      </w:pPr>
      <w:r>
        <w:rPr/>
        <w:t xml:space="preserve">(2) Remittance of payment to the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an insurance contract includes any performance standards, the insurer must describe the performance standards in the insurance contract and file the contract with the commissioner.</w:t>
      </w:r>
    </w:p>
    <w:p>
      <w:pPr>
        <w:spacing w:before="0" w:after="0" w:line="408" w:lineRule="exact"/>
        <w:ind w:left="0" w:right="0" w:firstLine="576"/>
        <w:jc w:val="left"/>
      </w:pPr>
      <w:r>
        <w:rPr/>
        <w:t xml:space="preserve">(4) Remittance of a premium or a credit to the policyholder in compliance with this section must not be considered a return premium for purposes of RCW 48.14.020 and 48.14.0201.</w:t>
      </w:r>
    </w:p>
    <w:p>
      <w:pPr>
        <w:spacing w:before="0" w:after="0" w:line="408" w:lineRule="exact"/>
        <w:ind w:left="0" w:right="0" w:firstLine="576"/>
        <w:jc w:val="left"/>
      </w:pPr>
      <w:r>
        <w:rPr/>
        <w:t xml:space="preserve">(5)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2a43e6df3284b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04799b6c2402e" /><Relationship Type="http://schemas.openxmlformats.org/officeDocument/2006/relationships/footer" Target="/word/footer1.xml" Id="Re2a43e6df3284b09" /></Relationships>
</file>