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cf4b51938d4764" /></Relationships>
</file>

<file path=word/document.xml><?xml version="1.0" encoding="utf-8"?>
<w:document xmlns:w="http://schemas.openxmlformats.org/wordprocessingml/2006/main">
  <w:body>
    <w:p>
      <w:r>
        <w:t>H-3564.1</w:t>
      </w:r>
    </w:p>
    <w:p>
      <w:pPr>
        <w:jc w:val="center"/>
      </w:pPr>
      <w:r>
        <w:t>_______________________________________________</w:t>
      </w:r>
    </w:p>
    <w:p/>
    <w:p>
      <w:pPr>
        <w:jc w:val="center"/>
      </w:pPr>
      <w:r>
        <w:rPr>
          <w:b/>
        </w:rPr>
        <w:t>HOUSE BILL 2305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Pollet, and Appleton</w:t>
      </w:r>
    </w:p>
    <w:p/>
    <w:p>
      <w:r>
        <w:rPr>
          <w:t xml:space="preserve">Prefiled 01/07/20.</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firearms laws concerning persons subject to vulnerable adult protection orders; amending RCW 74.34.130; and reenacting and amending RCW 9.41.800 and 9.41.040.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26.26B.020, 26.50.060, 26.50.070, </w:t>
      </w:r>
      <w:r>
        <w:t>((</w:t>
      </w:r>
      <w:r>
        <w:rPr>
          <w:strike/>
        </w:rPr>
        <w:t xml:space="preserve">or</w:t>
      </w:r>
      <w:r>
        <w:t>))</w:t>
      </w:r>
      <w:r>
        <w:rPr/>
        <w:t xml:space="preserve"> 26.26A.470</w:t>
      </w:r>
      <w:r>
        <w:rPr>
          <w:u w:val="single"/>
        </w:rPr>
        <w:t xml:space="preserve">, 74.34.120, or 74.34.130</w:t>
      </w:r>
      <w:r>
        <w:rPr/>
        <w:t xml:space="preserve"> shall, upon a showing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obtaining, or possessing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26.26B.020, 26.50.060, 26.50.070, </w:t>
      </w:r>
      <w:r>
        <w:t>((</w:t>
      </w:r>
      <w:r>
        <w:rPr>
          <w:strike/>
        </w:rPr>
        <w:t xml:space="preserve">or</w:t>
      </w:r>
      <w:r>
        <w:t>))</w:t>
      </w:r>
      <w:r>
        <w:rPr/>
        <w:t xml:space="preserve"> 26.26A.470</w:t>
      </w:r>
      <w:r>
        <w:rPr>
          <w:u w:val="single"/>
        </w:rPr>
        <w:t xml:space="preserve">, 74.34.120, or 74.34.130</w:t>
      </w:r>
      <w:r>
        <w:rPr/>
        <w:t xml:space="preserve">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obtaining, or possessing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26.26A, 26.26B, </w:t>
      </w:r>
      <w:r>
        <w:t>((</w:t>
      </w:r>
      <w:r>
        <w:rPr>
          <w:strike/>
        </w:rPr>
        <w:t xml:space="preserve">or</w:t>
      </w:r>
      <w:r>
        <w:t>))</w:t>
      </w:r>
      <w:r>
        <w:rPr/>
        <w:t xml:space="preserve"> 26.50</w:t>
      </w:r>
      <w:r>
        <w:rPr>
          <w:u w:val="single"/>
        </w:rPr>
        <w:t xml:space="preserve">, or 74.34</w:t>
      </w:r>
      <w:r>
        <w:rPr/>
        <w:t xml:space="preserve">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obtaining, or possessing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respondent in situations where the protected person does not know where the respondent lives or where there is evidence that the respondent is trying to evade service.</w:t>
      </w:r>
    </w:p>
    <w:p>
      <w:pPr>
        <w:spacing w:before="0" w:after="0" w:line="408" w:lineRule="exact"/>
        <w:ind w:left="0" w:right="0" w:firstLine="576"/>
        <w:jc w:val="left"/>
      </w:pPr>
      <w:r>
        <w:rPr/>
        <w:t xml:space="preserve">(8) If the court enters a protection order, restraining order, or no-contact order that includes an order to surrender firearms, dangerous weapons, and any concealed pistol license under this section, the order must be served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130</w:t>
      </w:r>
      <w:r>
        <w:rPr/>
        <w:t xml:space="preserve"> and 2007 c 312 s 6 are each amended to read as follows:</w:t>
      </w:r>
    </w:p>
    <w:p>
      <w:pPr>
        <w:spacing w:before="0" w:after="0" w:line="408" w:lineRule="exact"/>
        <w:ind w:left="0" w:right="0" w:firstLine="576"/>
        <w:jc w:val="left"/>
      </w:pPr>
      <w:r>
        <w:rPr>
          <w:u w:val="single"/>
        </w:rPr>
        <w:t xml:space="preserve">(1)</w:t>
      </w:r>
      <w:r>
        <w:rPr/>
        <w:t xml:space="preserve"> The court may order relief as it deems necessary for the protection of the vulnerable adult, including, but not limited to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Restraining respondent from committing acts of abandonment, abuse, neglect, or financial exploitation against the vulnerable adult;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Excluding the respondent from the vulnerable adult's residence for a specified period or until further order of the court;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Prohibiting contact with the vulnerable adult by respondent for a specified period or until further order of the court;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Prohibiting the respondent from knowingly coming within, or knowingly remaining within, a specified distance from a specified location;</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Requiring an accounting by respondent of the disposition of the vulnerable adult's income or other resources;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Restraining the transfer of the respondent's and/or vulnerable adult's property for a specified period not exceeding ninety days;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Requiring the respondent to pay a filing fee and court costs, including service fees, and to reimburse the petitioner for costs incurred in bringing the action, including a reasonable attorney's fee.</w:t>
      </w:r>
    </w:p>
    <w:p>
      <w:pPr>
        <w:spacing w:before="0" w:after="0" w:line="408" w:lineRule="exact"/>
        <w:ind w:left="0" w:right="0" w:firstLine="576"/>
        <w:jc w:val="left"/>
      </w:pPr>
      <w:r>
        <w:rPr>
          <w:u w:val="single"/>
        </w:rPr>
        <w:t xml:space="preserve">(2)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Any relief granted by an order for protection, other than a judgment for costs, shall be for a fixed period not to exceed five years. The clerk of the court shall enter any order for protection issued under this section into the judicial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26.26A, 26.26B, </w:t>
      </w:r>
      <w:r>
        <w:t>((</w:t>
      </w:r>
      <w:r>
        <w:rPr>
          <w:strike/>
        </w:rPr>
        <w:t xml:space="preserve">or</w:t>
      </w:r>
      <w:r>
        <w:t>))</w:t>
      </w:r>
      <w:r>
        <w:rPr/>
        <w:t xml:space="preserve"> 26.50</w:t>
      </w:r>
      <w:r>
        <w:rPr>
          <w:u w:val="single"/>
        </w:rPr>
        <w:t xml:space="preserve">, or 74.34</w:t>
      </w:r>
      <w:r>
        <w:rPr/>
        <w:t xml:space="preserve">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eighteen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w:t>
      </w:r>
      <w:r>
        <w:t>((</w:t>
      </w:r>
      <w:r>
        <w:rPr>
          <w:strike/>
        </w:rPr>
        <w:t xml:space="preserve">(4)</w:t>
      </w:r>
      <w:r>
        <w:t>))</w:t>
      </w:r>
      <w:r>
        <w:rPr/>
        <w:t xml:space="preserve">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
      <w:pPr>
        <w:jc w:val="center"/>
      </w:pPr>
      <w:r>
        <w:rPr>
          <w:b/>
        </w:rPr>
        <w:t>--- END ---</w:t>
      </w:r>
    </w:p>
    <w:sectPr>
      <w:pgNumType w:start="1"/>
      <w:footerReference xmlns:r="http://schemas.openxmlformats.org/officeDocument/2006/relationships" r:id="R1b7e0e97e10f4f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45da7b36304a15" /><Relationship Type="http://schemas.openxmlformats.org/officeDocument/2006/relationships/footer" Target="/word/footer1.xml" Id="R1b7e0e97e10f4f62" /></Relationships>
</file>