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0855f31204b19" /></Relationships>
</file>

<file path=word/document.xml><?xml version="1.0" encoding="utf-8"?>
<w:document xmlns:w="http://schemas.openxmlformats.org/wordprocessingml/2006/main">
  <w:body>
    <w:p>
      <w:r>
        <w:t>H-4284.2</w:t>
      </w:r>
    </w:p>
    <w:p>
      <w:pPr>
        <w:jc w:val="center"/>
      </w:pPr>
      <w:r>
        <w:t>_______________________________________________</w:t>
      </w:r>
    </w:p>
    <w:p/>
    <w:p>
      <w:pPr>
        <w:jc w:val="center"/>
      </w:pPr>
      <w:r>
        <w:rPr>
          <w:b/>
        </w:rPr>
        <w:t>SUBSTITUTE HOUSE BILL 2343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Frame, Macri, Doglio, Tharinger, and Pollet)</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housing supply; amending RCW 36.70A.600, 43.21C.495, 36.70A.620, and 43.21C.500; reenacting and amending RCW 36.70A.030;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2019 c 348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w:t>
      </w:r>
      <w:r>
        <w:t>((</w:t>
      </w:r>
      <w:r>
        <w:rPr>
          <w:strike/>
        </w:rPr>
        <w:t xml:space="preserve">five</w:t>
      </w:r>
      <w:r>
        <w:t>))</w:t>
      </w:r>
      <w:r>
        <w:rPr/>
        <w:t xml:space="preserve"> </w:t>
      </w:r>
      <w:r>
        <w:rPr>
          <w:u w:val="single"/>
        </w:rPr>
        <w:t xml:space="preserve">two</w:t>
      </w:r>
      <w:r>
        <w:rPr/>
        <w:t xml:space="preserve"> hundred acres in cities with a population greater than forty thousand or not fewer than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w:t>
      </w:r>
      <w:r>
        <w:rPr>
          <w:u w:val="single"/>
        </w:rPr>
        <w:t xml:space="preserve">Authorize a duplex, triplex, or courtyard apartment on one or more parcels for which they are not currently authorized;</w:t>
      </w:r>
    </w:p>
    <w:p>
      <w:pPr>
        <w:spacing w:before="0" w:after="0" w:line="408" w:lineRule="exact"/>
        <w:ind w:left="0" w:right="0" w:firstLine="576"/>
        <w:jc w:val="left"/>
      </w:pPr>
      <w:r>
        <w:rPr>
          <w:u w:val="single"/>
        </w:rPr>
        <w:t xml:space="preserve">(e)</w:t>
      </w:r>
      <w:r>
        <w:rPr/>
        <w:t xml:space="preserve"> Authorize cluster zoning or lot size averaging in all zoning districts that permit single-family residences;</w:t>
      </w:r>
    </w:p>
    <w:p>
      <w:pPr>
        <w:spacing w:before="0" w:after="0" w:line="408" w:lineRule="exact"/>
        <w:ind w:left="0" w:right="0" w:firstLine="576"/>
        <w:jc w:val="left"/>
      </w:pPr>
      <w:r>
        <w:t>((</w:t>
      </w:r>
      <w:r>
        <w:rPr>
          <w:strike/>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r>
        <w:t>))</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w:t>
      </w:r>
      <w:r>
        <w:t>((</w:t>
      </w:r>
      <w:r>
        <w:rPr>
          <w:strike/>
        </w:rPr>
        <w:t xml:space="preserve">and</w:t>
      </w:r>
      <w:r>
        <w:t>))</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w:t>
      </w:r>
      <w:r>
        <w:rPr>
          <w:u w:val="single"/>
        </w:rPr>
        <w:t xml:space="preserve">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u w:val="single"/>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u w:val="single"/>
        </w:rPr>
        <w:t xml:space="preserve">(n) Authorize accessory dwelling units in one or more zoning districts in which they are currently prohibited;</w:t>
      </w:r>
    </w:p>
    <w:p>
      <w:pPr>
        <w:spacing w:before="0" w:after="0" w:line="408" w:lineRule="exact"/>
        <w:ind w:left="0" w:right="0" w:firstLine="576"/>
        <w:jc w:val="left"/>
      </w:pPr>
      <w:r>
        <w:rPr>
          <w:u w:val="single"/>
        </w:rPr>
        <w:t xml:space="preserve">(o) Remove minimum residential parking requirements related to accessory dwelling units;</w:t>
      </w:r>
    </w:p>
    <w:p>
      <w:pPr>
        <w:spacing w:before="0" w:after="0" w:line="408" w:lineRule="exact"/>
        <w:ind w:left="0" w:right="0" w:firstLine="576"/>
        <w:jc w:val="left"/>
      </w:pPr>
      <w:r>
        <w:rPr>
          <w:u w:val="single"/>
        </w:rPr>
        <w:t xml:space="preserve">(p) Remove owner occupancy requirements related to accessory dwelling units; and</w:t>
      </w:r>
    </w:p>
    <w:p>
      <w:pPr>
        <w:spacing w:before="0" w:after="0" w:line="408" w:lineRule="exact"/>
        <w:ind w:left="0" w:right="0" w:firstLine="576"/>
        <w:jc w:val="left"/>
      </w:pPr>
      <w:r>
        <w:rPr>
          <w:u w:val="single"/>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w:t>
      </w:r>
      <w:r>
        <w:t>((</w:t>
      </w:r>
      <w:r>
        <w:rPr>
          <w:strike/>
        </w:rPr>
        <w:t xml:space="preserve">2021</w:t>
      </w:r>
      <w:r>
        <w:t>))</w:t>
      </w:r>
      <w:r>
        <w:rPr/>
        <w:t xml:space="preserve"> </w:t>
      </w:r>
      <w:r>
        <w:rPr>
          <w:u w:val="single"/>
        </w:rPr>
        <w:t xml:space="preserve">2023</w:t>
      </w:r>
      <w:r>
        <w:rPr/>
        <w:t xml:space="preserve">,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w:t>
      </w:r>
      <w:r>
        <w:t>((</w:t>
      </w:r>
      <w:r>
        <w:rPr>
          <w:strike/>
        </w:rPr>
        <w:t xml:space="preserve">2021</w:t>
      </w:r>
      <w:r>
        <w:t>))</w:t>
      </w:r>
      <w:r>
        <w:rPr/>
        <w:t xml:space="preserve"> </w:t>
      </w:r>
      <w:r>
        <w:rPr>
          <w:u w:val="single"/>
        </w:rPr>
        <w:t xml:space="preserve">2023</w:t>
      </w:r>
      <w:r>
        <w:rPr/>
        <w:t xml:space="preserve">,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t>
      </w:r>
      <w:r>
        <w:t>((</w:t>
      </w:r>
      <w:r>
        <w:rPr>
          <w:strike/>
        </w:rPr>
        <w:t xml:space="preserve">with a population over twenty thousand</w:t>
      </w:r>
      <w:r>
        <w:t>))</w:t>
      </w:r>
      <w:r>
        <w:rPr/>
        <w:t xml:space="preserve">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t xml:space="preserve">If adopted by April 1, </w:t>
      </w:r>
      <w:r>
        <w:t>((</w:t>
      </w:r>
      <w:r>
        <w:rPr>
          <w:strike/>
        </w:rPr>
        <w:t xml:space="preserve">2021</w:t>
      </w:r>
      <w:r>
        <w:t>))</w:t>
      </w:r>
      <w:r>
        <w:rPr/>
        <w:t xml:space="preserve"> </w:t>
      </w:r>
      <w:r>
        <w:rPr>
          <w:u w:val="single"/>
        </w:rPr>
        <w:t xml:space="preserve">2023</w:t>
      </w:r>
      <w:r>
        <w:rPr/>
        <w:t xml:space="preserve">,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2019 c 348 s 5 are each amended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w:t>
      </w:r>
      <w:r>
        <w:t>((</w:t>
      </w:r>
      <w:r>
        <w:rPr>
          <w:strike/>
        </w:rPr>
        <w:t xml:space="preserve">four</w:t>
      </w:r>
      <w:r>
        <w:t>))</w:t>
      </w:r>
      <w:r>
        <w:rPr/>
        <w:t xml:space="preserve"> </w:t>
      </w:r>
      <w:r>
        <w:rPr>
          <w:u w:val="single"/>
        </w:rPr>
        <w:t xml:space="preserve">two</w:t>
      </w:r>
      <w:r>
        <w:rPr/>
        <w:t xml:space="preserve">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u w:val="singl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500</w:t>
      </w:r>
      <w:r>
        <w:rPr/>
        <w:t xml:space="preserve"> and 2019 c 348 s 6 are each amended to read as follows:</w:t>
      </w:r>
    </w:p>
    <w:p>
      <w:pPr>
        <w:spacing w:before="0" w:after="0" w:line="408" w:lineRule="exact"/>
        <w:ind w:left="0" w:right="0" w:firstLine="576"/>
        <w:jc w:val="left"/>
      </w:pPr>
      <w:r>
        <w:rPr>
          <w:u w:val="single"/>
        </w:rPr>
        <w:t xml:space="preserve">Project actions described in this section that pertain to residential, multifamily, or mixed-use development evaluated under this chapter by a city or town planning under RCW 36.70A.040 are exempt from appeals under this chapter on the basis of the evaluation of or impacts to the following elements of the environment, provided that the appropriate requirements for a particular element of the environment, as set forth in subsections (1) and (2) of this section, are met.</w:t>
      </w:r>
    </w:p>
    <w:p>
      <w:pPr>
        <w:spacing w:before="0" w:after="0" w:line="408" w:lineRule="exact"/>
        <w:ind w:left="0" w:right="0" w:firstLine="576"/>
        <w:jc w:val="left"/>
      </w:pPr>
      <w:r>
        <w:rPr/>
        <w:t xml:space="preserve">(1) </w:t>
      </w:r>
      <w:r>
        <w:rPr>
          <w:u w:val="single"/>
        </w:rPr>
        <w:t xml:space="preserve">Transportation.</w:t>
      </w:r>
      <w:r>
        <w:rPr/>
        <w:t xml:space="preserve"> A project action pertaining to residential, multifamily, or mixed</w:t>
      </w:r>
      <w:r>
        <w:rPr>
          <w:u w:val="single"/>
        </w:rPr>
        <w:t xml:space="preserve">-</w:t>
      </w:r>
      <w:r>
        <w:rPr/>
        <w:t xml:space="preserve">use development evaluated under this chapter by a city or town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or town.</w:t>
      </w:r>
    </w:p>
    <w:p>
      <w:pPr>
        <w:spacing w:before="0" w:after="0" w:line="408" w:lineRule="exact"/>
        <w:ind w:left="0" w:right="0" w:firstLine="576"/>
        <w:jc w:val="left"/>
      </w:pPr>
      <w:r>
        <w:rPr/>
        <w:t xml:space="preserve">(2) </w:t>
      </w:r>
      <w:r>
        <w:rPr>
          <w:u w:val="single"/>
        </w:rPr>
        <w:t xml:space="preserve">Aesthetics. A project action pertaining to residential, multifamily, or mixed-use development evaluated under this chapter by a city or town planning under RCW 36.70A.040 is exempt from appeals under this chapter on the basis of the evaluation of or impacts to the aesthetics element of the environment, so long as the project is subject to design review pursuant to adopted design review requirements at the local government level. For purposes of this subsection,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u w:val="single"/>
        </w:rPr>
        <w:t xml:space="preserve">(3)</w:t>
      </w:r>
      <w:r>
        <w:rPr/>
        <w:t xml:space="preserve">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2019 c 348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w:t>
      </w:r>
      <w:r>
        <w:t>((</w:t>
      </w:r>
      <w:r>
        <w:rPr>
          <w:strike/>
        </w:rPr>
        <w:t xml:space="preserve">,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r>
        <w:t>))</w:t>
      </w:r>
      <w:r>
        <w:rPr/>
        <w:t xml:space="preserve"> </w:t>
      </w:r>
      <w:r>
        <w:rPr>
          <w:u w:val="single"/>
        </w:rPr>
        <w:t xml:space="preserve">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r>
        <w:rPr/>
        <w:t xml:space="preserve">.</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remove parking as an element of the environment within WAC 197-11-444 and as a component of the environmental checklist within WAC 197-11-960, as those sections existed on the effective date of this section, the next time that the department amends rules implementing this chapter after the effective date of this section.</w:t>
      </w:r>
    </w:p>
    <w:p/>
    <w:p>
      <w:pPr>
        <w:jc w:val="center"/>
      </w:pPr>
      <w:r>
        <w:rPr>
          <w:b/>
        </w:rPr>
        <w:t>--- END ---</w:t>
      </w:r>
    </w:p>
    <w:sectPr>
      <w:pgNumType w:start="1"/>
      <w:footerReference xmlns:r="http://schemas.openxmlformats.org/officeDocument/2006/relationships" r:id="Ra984e7258c0e4d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d244d099e64426" /><Relationship Type="http://schemas.openxmlformats.org/officeDocument/2006/relationships/footer" Target="/word/footer1.xml" Id="Ra984e7258c0e4d5c" /></Relationships>
</file>