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d4414217b48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Eslick, Senn, Corry, and Kilduff)</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the purposes of this section, "authorization" means a transaction created by the department that allows a child care provider to claim payment for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23ecb29861948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abac843ff487e" /><Relationship Type="http://schemas.openxmlformats.org/officeDocument/2006/relationships/footer" Target="/word/footer1.xml" Id="Ra23ecb29861948dd" /></Relationships>
</file>