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4229c20074a4b" /></Relationships>
</file>

<file path=word/document.xml><?xml version="1.0" encoding="utf-8"?>
<w:document xmlns:w="http://schemas.openxmlformats.org/wordprocessingml/2006/main">
  <w:body>
    <w:p>
      <w:r>
        <w:t>H-4411.1</w:t>
      </w:r>
    </w:p>
    <w:p>
      <w:pPr>
        <w:jc w:val="center"/>
      </w:pPr>
      <w:r>
        <w:t>_______________________________________________</w:t>
      </w:r>
    </w:p>
    <w:p/>
    <w:p>
      <w:pPr>
        <w:jc w:val="center"/>
      </w:pPr>
      <w:r>
        <w:rPr>
          <w:b/>
        </w:rPr>
        <w:t>SUBSTITUTE HOUSE BILL 2555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Goodman)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requirements for firearms classified as other under federal firearms laws;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rPr/>
        <w:t xml:space="preserve">(a) A dealer may not deliver a firearm frame or receiver to a purchaser or transferee unless the dealer first conducts a background check of the applicant through the state firearms background check system and the requirements or time periods in RCW 9.41.092(1) have been satisfied.</w:t>
      </w:r>
    </w:p>
    <w:p>
      <w:pPr>
        <w:spacing w:before="0" w:after="0" w:line="408" w:lineRule="exact"/>
        <w:ind w:left="0" w:right="0" w:firstLine="576"/>
        <w:jc w:val="left"/>
      </w:pPr>
      <w:r>
        <w:rPr/>
        <w:t xml:space="preserve">(b) When processing an application for the purchase or transfer of a firearm frame or receiver, a dealer shall comply with the application, recordkeeping, and other requirements of this chapter that apply to the sale or transfer of a pistol.</w:t>
      </w:r>
    </w:p>
    <w:p>
      <w:pPr>
        <w:spacing w:before="0" w:after="0" w:line="408" w:lineRule="exact"/>
        <w:ind w:left="0" w:right="0" w:firstLine="576"/>
        <w:jc w:val="left"/>
      </w:pPr>
      <w:r>
        <w:rPr/>
        <w:t xml:space="preserve">(c)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the state, information relevant to the applicant's eligibility to possess a firearm. Any mental health information received by a court, law enforcement agency, or the state pursuant to this section shall not be disclosed except as provided in RCW 42.56.240(4).</w:t>
      </w:r>
    </w:p>
    <w:p>
      <w:pPr>
        <w:spacing w:before="0" w:after="0" w:line="408" w:lineRule="exact"/>
        <w:ind w:left="0" w:right="0" w:firstLine="576"/>
        <w:jc w:val="left"/>
      </w:pPr>
      <w:r>
        <w:rPr/>
        <w:t xml:space="preserve">(d)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rPr/>
        <w:t xml:space="preserve">(e)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rPr/>
        <w:t xml:space="preserve">(f) This section does not apply to sales or transfers of firearm frames or receivers to licensed dealers.</w:t>
      </w:r>
    </w:p>
    <w:p>
      <w:pPr>
        <w:spacing w:before="0" w:after="0" w:line="408" w:lineRule="exact"/>
        <w:ind w:left="0" w:right="0" w:firstLine="576"/>
        <w:jc w:val="left"/>
      </w:pPr>
      <w:r>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p>
    <w:p/>
    <w:p>
      <w:pPr>
        <w:jc w:val="center"/>
      </w:pPr>
      <w:r>
        <w:rPr>
          <w:b/>
        </w:rPr>
        <w:t>--- END ---</w:t>
      </w:r>
    </w:p>
    <w:sectPr>
      <w:pgNumType w:start="1"/>
      <w:footerReference xmlns:r="http://schemas.openxmlformats.org/officeDocument/2006/relationships" r:id="Rae97d3ea32df47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55c720b04469f" /><Relationship Type="http://schemas.openxmlformats.org/officeDocument/2006/relationships/footer" Target="/word/footer1.xml" Id="Rae97d3ea32df47bf" /></Relationships>
</file>