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85b24f3e14f66" /></Relationships>
</file>

<file path=word/document.xml><?xml version="1.0" encoding="utf-8"?>
<w:document xmlns:w="http://schemas.openxmlformats.org/wordprocessingml/2006/main">
  <w:body>
    <w:p>
      <w:r>
        <w:t>H-3629.2</w:t>
      </w:r>
    </w:p>
    <w:p>
      <w:pPr>
        <w:jc w:val="center"/>
      </w:pPr>
      <w:r>
        <w:t>_______________________________________________</w:t>
      </w:r>
    </w:p>
    <w:p/>
    <w:p>
      <w:pPr>
        <w:jc w:val="center"/>
      </w:pPr>
      <w:r>
        <w:rPr>
          <w:b/>
        </w:rPr>
        <w:t>HOUSE BILL 2631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Ortiz-Self, Lovick, Frame, Entenman, Dolan, Caldier, Gregerson, Pollet, and Davis</w:t>
      </w:r>
    </w:p>
    <w:p/>
    <w:p>
      <w:r>
        <w:rPr>
          <w:t xml:space="preserve">Read first time 01/16/20.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family engagement framework;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create a family engagement framework for early learning through high school.</w:t>
      </w:r>
    </w:p>
    <w:p>
      <w:pPr>
        <w:spacing w:before="0" w:after="0" w:line="408" w:lineRule="exact"/>
        <w:ind w:left="0" w:right="0" w:firstLine="576"/>
        <w:jc w:val="left"/>
      </w:pPr>
      <w:r>
        <w:rPr/>
        <w:t xml:space="preserve">(2)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(3)(a) The members of the work group must represent the following groups: The department of children, youth, and families; the office of the superintendent of public instruction; the state board of education; parents of children in the state early childhood education and assistance program or the federal head start program; parents of students in elementary or secondary school; parents of students who are English learners, with at least one parent with a student in preschool and at least one parent with a student in elementary or secondary school; parents of students who are in special education; parents of students in foster care; the office of the education ombuds; the educational opportunity gap oversight and accountability committee; the state commission on Asian Pacific American affairs; the state commission on Hispanic affairs; the state commission on African American affairs; the governor's office of Indian affairs; the Washington state school directors' association; a state organization of school principals; a state organization of teachers; early childhood teachers; elementary and postsecondary teachers; and a state organization representing school counselors.</w:t>
      </w:r>
    </w:p>
    <w:p>
      <w:pPr>
        <w:spacing w:before="0" w:after="0" w:line="408" w:lineRule="exact"/>
        <w:ind w:left="0" w:right="0" w:firstLine="576"/>
        <w:jc w:val="left"/>
      </w:pPr>
      <w:r>
        <w:rPr/>
        <w:t xml:space="preserve">(b) The members of the work group must elect cochairs. One of the cochairs must be a parent and the other cochair must represent a state agency.</w:t>
      </w:r>
    </w:p>
    <w:p>
      <w:pPr>
        <w:spacing w:before="0" w:after="0" w:line="408" w:lineRule="exact"/>
        <w:ind w:left="0" w:right="0" w:firstLine="576"/>
        <w:jc w:val="left"/>
      </w:pPr>
      <w:r>
        <w:rPr/>
        <w:t xml:space="preserve">(4) The work group must meet monthly.</w:t>
      </w:r>
    </w:p>
    <w:p>
      <w:pPr>
        <w:spacing w:before="0" w:after="0" w:line="408" w:lineRule="exact"/>
        <w:ind w:left="0" w:right="0" w:firstLine="576"/>
        <w:jc w:val="left"/>
      </w:pPr>
      <w:r>
        <w:rPr/>
        <w:t xml:space="preserve">(5) Staff support for the work group must be provided by the office of the superintendent of public instruction and the department of children, youth, and families.</w:t>
      </w:r>
    </w:p>
    <w:p>
      <w:pPr>
        <w:spacing w:before="0" w:after="0" w:line="408" w:lineRule="exact"/>
        <w:ind w:left="0" w:right="0" w:firstLine="576"/>
        <w:jc w:val="left"/>
      </w:pPr>
      <w:r>
        <w:rPr/>
        <w:t xml:space="preserve">(6) Members are not entitled to be reimbursed for meal 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(7) By November 1, 2021, and in compliance with RCW 43.01.036, the office of the superintendent of public instruction must report to the appropriate committees of the legislature with a summary of the activities of the work group and its recommendations for a family engagement framework for early learning through high school.</w:t>
      </w:r>
    </w:p>
    <w:p>
      <w:pPr>
        <w:spacing w:before="0" w:after="0" w:line="408" w:lineRule="exact"/>
        <w:ind w:left="0" w:right="0" w:firstLine="576"/>
        <w:jc w:val="left"/>
      </w:pPr>
      <w:r>
        <w:rPr/>
        <w:t xml:space="preserve">(8) This section expires July 1, 2022.</w:t>
      </w:r>
    </w:p>
    <w:p/>
    <w:p>
      <w:pPr>
        <w:jc w:val="center"/>
      </w:pPr>
      <w:r>
        <w:rPr>
          <w:b/>
        </w:rPr>
        <w:t>--- END ---</w:t>
      </w:r>
    </w:p>
    <w:sectPr>
      <w:pgNumType w:start="1"/>
      <w:footerReference xmlns:r="http://schemas.openxmlformats.org/officeDocument/2006/relationships" r:id="R2d71bca83bf641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2871e462e34c45" /><Relationship Type="http://schemas.openxmlformats.org/officeDocument/2006/relationships/footer" Target="/word/footer1.xml" Id="R2d71bca83bf64158" /></Relationships>
</file>