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4181259df42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Peterson, MacEwen, Stonier, Harris, Robinson, Young, Ortiz-Self, Stokesbary, Tharinger, Walsh, Riccelli, Appleton, Griffey, Hansen, Kloba, Lekanoff, Sells, Chapman, Gregerson, and Ramel)</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9.46.130, 9.46.190, 9.46.210, 9.46.220, 9.46.240, and 9.46.090; adding new sections to chapter 9.46 RCW; creating a new section; prescribing penalties;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The appropriation in this section constitutes a loan from the general fund to the gambling revolving account that must be repaid with net interest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0174df216a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b61a080794439" /><Relationship Type="http://schemas.openxmlformats.org/officeDocument/2006/relationships/footer" Target="/word/footer1.xml" Id="Ra60174df216a462c" /></Relationships>
</file>