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ca9b561de47c3" /></Relationships>
</file>

<file path=word/document.xml><?xml version="1.0" encoding="utf-8"?>
<w:document xmlns:w="http://schemas.openxmlformats.org/wordprocessingml/2006/main">
  <w:body>
    <w:p>
      <w:r>
        <w:t>H-3881.1</w:t>
      </w:r>
    </w:p>
    <w:p>
      <w:pPr>
        <w:jc w:val="center"/>
      </w:pPr>
      <w:r>
        <w:t>_______________________________________________</w:t>
      </w:r>
    </w:p>
    <w:p/>
    <w:p>
      <w:pPr>
        <w:jc w:val="center"/>
      </w:pPr>
      <w:r>
        <w:rPr>
          <w:b/>
        </w:rPr>
        <w:t>HOUSE BILL 2642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Cody, Chopp, Harris, Leavitt, Caldier, Smith, Goodman, Orwall, Thai, Macri, Stonier, Schmick, Tharinger, Riccelli, Robinson, Griffey, Graham, Appleton, Callan, Irwin, Bergquist, Lekanoff, Barkis, Senn, Doglio, Walen, Peterson, Ormsby, and Pollet</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they recover.</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the effective date of this section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A health plan offered to employees and their covered dependents under this chapter issued or renewed on or after the effective date of this section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five days of withdrawal management services, including an extension to allow for any intervening weekend days or holidays, in a state-licensed withdrawal management program.</w:t>
      </w:r>
    </w:p>
    <w:p>
      <w:pPr>
        <w:spacing w:before="0" w:after="0" w:line="408" w:lineRule="exact"/>
        <w:ind w:left="0" w:right="0" w:firstLine="576"/>
        <w:jc w:val="left"/>
      </w:pPr>
      <w:r>
        <w:rPr/>
        <w:t xml:space="preserve">(b) The health plan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health plan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facility providing the services shall provide the health plan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 Upon receipt of the materials in (c)(i) of this subsection, the plan may initiate the medical necessity review process. If a health plan determines, within twenty-four hours of receiving the materials, that the admission to the facility was not medically necessary or clinically appropriate, the health plan is not required to pay the facility for the services delivered after the initial admission periods specified in (a) of this subsection, subject to the conclusion of any filed appeals of the adverse benefit determination. If the health plan's medical necessity review is completed more than twenty-four hours after the receipt of the materials and the review determines that the admission to the facility was not medically necessary or clinically appropriate, the health plan must pay for the services delivered following the health plan's receipt of the materials in (c)(i) of this subsection until the time at which the review has been completed.</w:t>
      </w:r>
    </w:p>
    <w:p>
      <w:pPr>
        <w:spacing w:before="0" w:after="0" w:line="408" w:lineRule="exact"/>
        <w:ind w:left="0" w:right="0" w:firstLine="576"/>
        <w:jc w:val="left"/>
      </w:pPr>
      <w:r>
        <w:rPr/>
        <w:t xml:space="preserve">(iii) The enrollee's use of stimulants may not be the sole grounds for determining that an admission to a withdrawal management facility is not medically necessary or clinically appropriate. The enrollee's decision to begin medication assisted treatment for opioid use disorder may not be the sole grounds for determining that an admission to a withdrawal management facility is not medically necessary or clinically appropriate.</w:t>
      </w:r>
    </w:p>
    <w:p>
      <w:pPr>
        <w:spacing w:before="0" w:after="0" w:line="408" w:lineRule="exact"/>
        <w:ind w:left="0" w:right="0" w:firstLine="576"/>
        <w:jc w:val="left"/>
      </w:pPr>
      <w:r>
        <w:rPr/>
        <w:t xml:space="preserve">(3) The treating provider shall determine the patient's need for continuing care and justification of treatment placement after stabilization, based on the American society of addiction medicine criteria for determining medical necessity with documentation recorded in the patient's medical record.</w:t>
      </w:r>
    </w:p>
    <w:p>
      <w:pPr>
        <w:spacing w:before="0" w:after="0" w:line="408" w:lineRule="exact"/>
        <w:ind w:left="0" w:right="0" w:firstLine="576"/>
        <w:jc w:val="left"/>
      </w:pPr>
      <w:r>
        <w:rPr/>
        <w:t xml:space="preserve">(4) When a patient is at an addiction stabilization facility and the recommended plan of treatment involves placement in a different facility or at a lower level of care, the care coordination unit of the health plan shall work with the current provider to make arrangements for a seamless transfer as soon as possible to an appropriate and available facility. The health plan shall continue to cover the cost of care at the current facility until the seamless transfer is complete. If placement with a provider that offers proper medically necessary or clinically appropriate care in the health plan's network is not available, the health plan shall continue to pay the addiction stabilization facility until such an alternate arrangement is made.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after the effective date of this section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A health plan issued or renewed on or after the effective date of this section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five days of withdrawal management services, including an extension to allow for any intervening weekend days or holidays, in a state-licensed withdrawal management program.</w:t>
      </w:r>
    </w:p>
    <w:p>
      <w:pPr>
        <w:spacing w:before="0" w:after="0" w:line="408" w:lineRule="exact"/>
        <w:ind w:left="0" w:right="0" w:firstLine="576"/>
        <w:jc w:val="left"/>
      </w:pPr>
      <w:r>
        <w:rPr/>
        <w:t xml:space="preserve">(b) The health plan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health plan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facility providing the services shall provide the health plan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 Upon receipt of the materials in (c)(i) of this subsection, the plan may initiate the medical necessity review process. If a health plan determines, within twenty-four hours of receiving the materials, that the admission to the facility was not medically necessary or clinically appropriate, the health plan is not required to pay the facility for the services delivered after the initial admission periods specified in (a) of this subsection, subject to the conclusion of any filed appeals of the adverse benefit determination. If the health plan's medical necessity review is completed more than twenty-four hours after the receipt of the materials and the review determines that the admission to the facility was not medically necessary or clinically appropriate, the health plan must pay for the services delivered following the health plan's receipt of the materials in (c)(i) of this subsection until the time at which the review has been completed.</w:t>
      </w:r>
    </w:p>
    <w:p>
      <w:pPr>
        <w:spacing w:before="0" w:after="0" w:line="408" w:lineRule="exact"/>
        <w:ind w:left="0" w:right="0" w:firstLine="576"/>
        <w:jc w:val="left"/>
      </w:pPr>
      <w:r>
        <w:rPr/>
        <w:t xml:space="preserve">(iii) The enrollee's use of stimulants may not be the sole grounds for determining that an admission to a withdrawal management facility is not medically necessary or clinically appropriate. The enrollee's decision to begin medication assisted treatment for opioid use disorder may not be the sole grounds for determining that an admission to a withdrawal management facility is not medically necessary or clinically appropriate.</w:t>
      </w:r>
    </w:p>
    <w:p>
      <w:pPr>
        <w:spacing w:before="0" w:after="0" w:line="408" w:lineRule="exact"/>
        <w:ind w:left="0" w:right="0" w:firstLine="576"/>
        <w:jc w:val="left"/>
      </w:pPr>
      <w:r>
        <w:rPr/>
        <w:t xml:space="preserve">(3) The treating provider shall determine the patient's need for continuing care and justification of treatment placement after stabilization, based on American society of addiction medicine criteria for determining medical necessity with documentation recorded in the patient's medical record.</w:t>
      </w:r>
    </w:p>
    <w:p>
      <w:pPr>
        <w:spacing w:before="0" w:after="0" w:line="408" w:lineRule="exact"/>
        <w:ind w:left="0" w:right="0" w:firstLine="576"/>
        <w:jc w:val="left"/>
      </w:pPr>
      <w:r>
        <w:rPr/>
        <w:t xml:space="preserve">(4) When a patient is at an addiction stabilization facility and the recommended plan of treatment involves placement in a different facility or at a lower level of care, the care coordination unit of the health plan shall work with the current provider to make arrangements for a seamless transfer as soon as possible to an appropriate and available facility. The health plan shall continue to cover the cost of care at the current facility until the seamless transfer is complete. If placement with a provider that offers proper medically necessary or clinically appropriate care in the health plan's network is not available, the health plan shall continue to pay the addiction stabilization facility until such an alternate arrangement is made.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January 1, 2021, a managed care organization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five days of withdrawal management services, including an extension to allow for any intervening weekend days or holidays, in a state-licensed withdrawal management program.</w:t>
      </w:r>
    </w:p>
    <w:p>
      <w:pPr>
        <w:spacing w:before="0" w:after="0" w:line="408" w:lineRule="exact"/>
        <w:ind w:left="0" w:right="0" w:firstLine="576"/>
        <w:jc w:val="left"/>
      </w:pPr>
      <w:r>
        <w:rPr/>
        <w:t xml:space="preserve">(b) The managed care organization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managed care organization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facility providing the services shall provide the managed care organization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 Upon receipt of the materials in (c)(i) of this subsection, the managed care organization may initiate the medical necessity review process. If a managed care organization determines, within twenty-four hours of receiving the materials, that the admission to the facility was not medically necessary or clinically appropriate, the managed care organization is not required to pay the facility for the services delivered after the initial admission periods specified in (a) of this subsection, subject to the conclusion of any filed appeals of the adverse benefit determination. If the managed care organization's medical necessity review is completed more than twenty-four hours after the receipt of the materials and the review determines that the admission to the facility was not medically necessary or clinically appropriate, the managed care organization must pay for the services delivered following the managed care organization's receipt of the materials in (c)(i) of this subsection until the time at which the review has been completed.</w:t>
      </w:r>
    </w:p>
    <w:p>
      <w:pPr>
        <w:spacing w:before="0" w:after="0" w:line="408" w:lineRule="exact"/>
        <w:ind w:left="0" w:right="0" w:firstLine="576"/>
        <w:jc w:val="left"/>
      </w:pPr>
      <w:r>
        <w:rPr/>
        <w:t xml:space="preserve">(iii) The enrollee's use of stimulants may not be the sole grounds for determining that an admission to a withdrawal management facility is not medically necessary or clinically appropriate. The enrollee's decision to begin medication assisted treatment for opioid use disorder may not be the sole grounds for determining that an admission to a withdrawal management facility is not medically necessary or clinically appropriate.</w:t>
      </w:r>
    </w:p>
    <w:p>
      <w:pPr>
        <w:spacing w:before="0" w:after="0" w:line="408" w:lineRule="exact"/>
        <w:ind w:left="0" w:right="0" w:firstLine="576"/>
        <w:jc w:val="left"/>
      </w:pPr>
      <w:r>
        <w:rPr/>
        <w:t xml:space="preserve">(3) The treating provider shall determine the patient's need for continuing care and justification of treatment placement after stabilization, based on American society of addiction medicine criteria for determining medical necessity with documentation recorded in the patient's medical record.</w:t>
      </w:r>
    </w:p>
    <w:p>
      <w:pPr>
        <w:spacing w:before="0" w:after="0" w:line="408" w:lineRule="exact"/>
        <w:ind w:left="0" w:right="0" w:firstLine="576"/>
        <w:jc w:val="left"/>
      </w:pPr>
      <w:r>
        <w:rPr/>
        <w:t xml:space="preserve">(4) When a patient is at an addiction stabilization facility and the recommended plan of treatment involves placement in a different facility or at a lower level of care, the care coordination unit of the managed care organization must work with the current provider to make arrangements for a seamless transfer as soon as possible to an appropriate and available facility. The managed care organization must continue to cover the cost of care at the current facility until the seamless transfer is complete. If placement with a provider that offers proper medically necessary or clinically appropriate care in the managed care organization's network is not available, the managed care organization must continue to pay the addiction stabilization facility until such an alternate arrangement is made.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
      <w:pPr>
        <w:jc w:val="center"/>
      </w:pPr>
      <w:r>
        <w:rPr>
          <w:b/>
        </w:rPr>
        <w:t>--- END ---</w:t>
      </w:r>
    </w:p>
    <w:sectPr>
      <w:pgNumType w:start="1"/>
      <w:footerReference xmlns:r="http://schemas.openxmlformats.org/officeDocument/2006/relationships" r:id="R9337333b40de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16f5826f64b14" /><Relationship Type="http://schemas.openxmlformats.org/officeDocument/2006/relationships/footer" Target="/word/footer1.xml" Id="R9337333b40de4403" /></Relationships>
</file>