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2e474965264ace" /></Relationships>
</file>

<file path=word/document.xml><?xml version="1.0" encoding="utf-8"?>
<w:document xmlns:w="http://schemas.openxmlformats.org/wordprocessingml/2006/main">
  <w:body>
    <w:p>
      <w:r>
        <w:t>H-3959.1</w:t>
      </w:r>
    </w:p>
    <w:p>
      <w:pPr>
        <w:jc w:val="center"/>
      </w:pPr>
      <w:r>
        <w:t>_______________________________________________</w:t>
      </w:r>
    </w:p>
    <w:p/>
    <w:p>
      <w:pPr>
        <w:jc w:val="center"/>
      </w:pPr>
      <w:r>
        <w:rPr>
          <w:b/>
        </w:rPr>
        <w:t>HOUSE BILL 2697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Dent, Blake, Dye, Springer, Boehnke, Callan, and Chandler</w:t>
      </w:r>
    </w:p>
    <w:p/>
    <w:p>
      <w:r>
        <w:rPr>
          <w:t xml:space="preserve">Read first time 01/17/20.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and 17.10.890.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"Parcel" means real property having a parcel number or deeded real property, right-of-way, undefined lot, or a lot having a legal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consultation with the county noxious weed control board</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t xml:space="preserve">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 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thirty</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thirty-day period, the nominee must be appointed by the county noxious weed control board.</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w:t>
      </w:r>
      <w:r>
        <w:t>((</w:t>
      </w:r>
      <w:r>
        <w:rPr>
          <w:strike/>
        </w:rPr>
        <w:t xml:space="preserve">shall comply</w:t>
      </w:r>
      <w:r>
        <w:t>))</w:t>
      </w:r>
      <w:r>
        <w:rPr/>
        <w:t xml:space="preserve"> </w:t>
      </w:r>
      <w:r>
        <w:rPr>
          <w:u w:val="single"/>
        </w:rPr>
        <w:t xml:space="preserve">must be consistent</w:t>
      </w:r>
      <w:r>
        <w:rPr/>
        <w:t xml:space="preserve"> with county personnel policies. Within sixty days from initial employment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chapter</w:t>
      </w:r>
      <w:r>
        <w:t>((</w:t>
      </w:r>
      <w:r>
        <w:rPr>
          <w:strike/>
        </w:rPr>
        <w:t xml:space="preserve">s</w:t>
      </w:r>
      <w:r>
        <w:t>))</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 who are exempt employees</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w:t>
      </w:r>
    </w:p>
    <w:p>
      <w:pPr>
        <w:spacing w:before="0" w:after="0" w:line="408" w:lineRule="exact"/>
        <w:ind w:left="0" w:right="0" w:firstLine="576"/>
        <w:jc w:val="left"/>
      </w:pPr>
      <w:r>
        <w:rPr>
          <w:u w:val="single"/>
        </w:rPr>
        <w:t xml:space="preserve">(i) Within one thousand feet of adjacent land uses;</w:t>
      </w:r>
    </w:p>
    <w:p>
      <w:pPr>
        <w:spacing w:before="0" w:after="0" w:line="408" w:lineRule="exact"/>
        <w:ind w:left="0" w:right="0" w:firstLine="576"/>
        <w:jc w:val="left"/>
      </w:pPr>
      <w:r>
        <w:rPr>
          <w:u w:val="single"/>
        </w:rPr>
        <w:t xml:space="preserve">(ii) Within two hundred feet of all roads unless properly abandoned as defined under WAC 222-24-052 as that section existed as of January 1, 2020, along navigable rivers, gravel pits, log yards, and staging areas; or</w:t>
      </w:r>
    </w:p>
    <w:p>
      <w:pPr>
        <w:spacing w:before="0" w:after="0" w:line="408" w:lineRule="exact"/>
        <w:ind w:left="0" w:right="0" w:firstLine="576"/>
        <w:jc w:val="left"/>
      </w:pPr>
      <w:r>
        <w:rPr>
          <w:u w:val="single"/>
        </w:rPr>
        <w:t xml:space="preserve">(iii) On all the property</w:t>
      </w:r>
      <w:r>
        <w:rPr/>
        <w:t xml:space="preserve"> for a single five-year period following the harvesting of trees for lumber.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w:t>
      </w:r>
      <w:r>
        <w:t>((</w:t>
      </w:r>
      <w:r>
        <w:rPr>
          <w:strike/>
        </w:rPr>
        <w:t xml:space="preserve">shall</w:t>
      </w:r>
      <w:r>
        <w:t>))</w:t>
      </w:r>
      <w:r>
        <w:rPr/>
        <w:t xml:space="preserve"> </w:t>
      </w:r>
      <w:r>
        <w:rPr>
          <w:u w:val="single"/>
        </w:rPr>
        <w:t xml:space="preserve">must appoint a liaison to</w:t>
      </w:r>
      <w:r>
        <w:rPr/>
        <w:t xml:space="preserve">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t>
      </w:r>
      <w:r>
        <w:rPr>
          <w:u w:val="single"/>
        </w:rPr>
        <w:t xml:space="preserve">In counties with a noxious weed assessment under RCW 17.10.240, whenever state-managed land, state-owned land, or a state right-of-way are within any county weed board jurisdiction, the county treasurer must certify annually and forward to the appropriate state agency for payment a statement showing the amount of the assessment to which the land would be liable if they were in private ownership, separately describing each lot or parcel and, if delinquent, with interest and penalties consistent with RCW 84.56.020.</w:t>
      </w:r>
    </w:p>
    <w:p>
      <w:pPr>
        <w:spacing w:before="0" w:after="0" w:line="408" w:lineRule="exact"/>
        <w:ind w:left="0" w:right="0" w:firstLine="576"/>
        <w:jc w:val="left"/>
      </w:pPr>
      <w:r>
        <w:rPr>
          <w:u w:val="single"/>
        </w:rPr>
        <w:t xml:space="preserve">(4)</w:t>
      </w:r>
      <w:r>
        <w:rPr/>
        <w:t xml:space="preserve">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it shall petition the county legislative authority to hold a hearing </w:t>
      </w:r>
      <w:r>
        <w:t>((</w:t>
      </w:r>
      <w:r>
        <w:rPr>
          <w:strike/>
        </w:rPr>
        <w:t xml:space="preserve">as provided in RCW 17.10.890</w:t>
      </w:r>
      <w:r>
        <w:t>))</w:t>
      </w:r>
      <w:r>
        <w:rPr/>
        <w:t xml:space="preserve"> </w:t>
      </w:r>
      <w:r>
        <w:rPr>
          <w:u w:val="single"/>
        </w:rPr>
        <w:t xml:space="preserve">within thirty days prior to the adoption of the county budget</w:t>
      </w:r>
      <w:r>
        <w:rPr/>
        <w:t xml:space="preserve">. Control of weeds is a benefit to the lands within any such section. Funding for the budget is derived from any or all of the following:</w:t>
      </w:r>
    </w:p>
    <w:p>
      <w:pPr>
        <w:spacing w:before="0" w:after="0" w:line="408" w:lineRule="exact"/>
        <w:ind w:left="0" w:right="0" w:firstLine="576"/>
        <w:jc w:val="left"/>
      </w:pPr>
      <w:r>
        <w:rPr/>
        <w:t xml:space="preserve">(a) The county legislative authority may, in lieu of a tax, levy an assessment against the land for this purpose.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w:t>
      </w:r>
      <w:r>
        <w:t>((</w:t>
      </w:r>
      <w:r>
        <w:rPr>
          <w:strike/>
        </w:rPr>
        <w:t xml:space="preserve">: PROVIDED, That if no benefits are found to accrue to a class of land, a zero assessment may be levied</w:t>
      </w:r>
      <w:r>
        <w:t>))</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rPr/>
        <w:t xml:space="preserve">(b)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only be deactivated if there are no class A or class B noxious weeds in the county. Upon receiving documentation of the absence of class A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
      <w:pPr>
        <w:jc w:val="center"/>
      </w:pPr>
      <w:r>
        <w:rPr>
          <w:b/>
        </w:rPr>
        <w:t>--- END ---</w:t>
      </w:r>
    </w:p>
    <w:sectPr>
      <w:pgNumType w:start="1"/>
      <w:footerReference xmlns:r="http://schemas.openxmlformats.org/officeDocument/2006/relationships" r:id="R7517ca6692734a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858ea888e481e" /><Relationship Type="http://schemas.openxmlformats.org/officeDocument/2006/relationships/footer" Target="/word/footer1.xml" Id="R7517ca6692734aec" /></Relationships>
</file>