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54d4066ad4e40" /></Relationships>
</file>

<file path=word/document.xml><?xml version="1.0" encoding="utf-8"?>
<w:document xmlns:w="http://schemas.openxmlformats.org/wordprocessingml/2006/main">
  <w:body>
    <w:p>
      <w:r>
        <w:t>H-4060.1</w:t>
      </w:r>
    </w:p>
    <w:p>
      <w:pPr>
        <w:jc w:val="center"/>
      </w:pPr>
      <w:r>
        <w:t>_______________________________________________</w:t>
      </w:r>
    </w:p>
    <w:p/>
    <w:p>
      <w:pPr>
        <w:jc w:val="center"/>
      </w:pPr>
      <w:r>
        <w:rPr>
          <w:b/>
        </w:rPr>
        <w:t>HOUSE BILL 2797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Macri, Davis, Shewmake, Peterson, Ramel, Lekanoff, and Pollet</w:t>
      </w:r>
    </w:p>
    <w:p/>
    <w:p>
      <w:r>
        <w:rPr>
          <w:t xml:space="preserve">Read first time 01/22/20.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affordable and supportive housing; and amending RCW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w:t>
      </w:r>
      <w:r>
        <w:rPr>
          <w:u w:val="single"/>
        </w:rPr>
        <w:t xml:space="preserve">, by July 28, 2020,</w:t>
      </w:r>
      <w:r>
        <w:rPr/>
        <w:t xml:space="preserve"> the tax source is instated </w:t>
      </w:r>
      <w:r>
        <w:t>((</w:t>
      </w:r>
      <w:r>
        <w:rPr>
          <w:strike/>
        </w:rPr>
        <w:t xml:space="preserve">no later than twelve months after July 28, 2019</w:t>
      </w:r>
      <w:r>
        <w:t>))</w:t>
      </w:r>
      <w:r>
        <w:rPr/>
        <w:t xml:space="preserve"> </w:t>
      </w:r>
      <w:r>
        <w:rPr>
          <w:u w:val="single"/>
        </w:rPr>
        <w:t xml:space="preserve">or a simple majority of a city legislative authority adopts a resolution of intent to implement the tax source</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w:t>
      </w:r>
      <w:r>
        <w:t>((</w:t>
      </w:r>
      <w:r>
        <w:rPr>
          <w:strike/>
        </w:rPr>
        <w:t xml:space="preserve">this section</w:t>
      </w:r>
      <w:r>
        <w:t>))</w:t>
      </w:r>
      <w:r>
        <w:rPr/>
        <w:t xml:space="preserve"> </w:t>
      </w:r>
      <w:r>
        <w:rPr>
          <w:u w:val="single"/>
        </w:rPr>
        <w:t xml:space="preserve">(e)(i)(A) of this subsection (2)</w:t>
      </w:r>
      <w:r>
        <w:rPr/>
        <w:t xml:space="preserve">;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w:t>
      </w:r>
      <w:r>
        <w:t>((</w:t>
      </w:r>
      <w:r>
        <w:rPr>
          <w:strike/>
        </w:rPr>
        <w:t xml:space="preserve">this section</w:t>
      </w:r>
      <w:r>
        <w:t>))</w:t>
      </w:r>
      <w:r>
        <w:rPr/>
        <w:t xml:space="preserve"> </w:t>
      </w:r>
      <w:r>
        <w:rPr>
          <w:u w:val="single"/>
        </w:rPr>
        <w:t xml:space="preserve">(e)(i)(A) of this subsection (2)</w:t>
      </w:r>
      <w:r>
        <w:rPr/>
        <w:t xml:space="preserve">;</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w:t>
      </w:r>
      <w:r>
        <w:t>((</w:t>
      </w:r>
      <w:r>
        <w:rPr>
          <w:strike/>
        </w:rPr>
        <w:t xml:space="preserve">located within a participating county if the participating city is</w:t>
      </w:r>
      <w:r>
        <w:t>))</w:t>
      </w:r>
      <w:r>
        <w:rPr/>
        <w:t xml:space="preserve">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t>
      </w:r>
      <w:r>
        <w:t>((</w:t>
      </w:r>
      <w:r>
        <w:rPr>
          <w:strike/>
        </w:rPr>
        <w:t xml:space="preserve">within six months of July 28, 2019</w:t>
      </w:r>
      <w:r>
        <w:t>))</w:t>
      </w:r>
      <w:r>
        <w:rPr/>
        <w:t xml:space="preserve"> </w:t>
      </w:r>
      <w:r>
        <w:rPr>
          <w:u w:val="single"/>
        </w:rPr>
        <w:t xml:space="preserve">by July 28, 2020</w:t>
      </w:r>
      <w:r>
        <w:rPr/>
        <w:t xml:space="preserve">; and</w:t>
      </w:r>
    </w:p>
    <w:p>
      <w:pPr>
        <w:spacing w:before="0" w:after="0" w:line="408" w:lineRule="exact"/>
        <w:ind w:left="0" w:right="0" w:firstLine="576"/>
        <w:jc w:val="left"/>
      </w:pPr>
      <w:r>
        <w:rPr/>
        <w:t xml:space="preserve">(B) Legislation to authorize the maximum capacity of the tax in this section </w:t>
      </w:r>
      <w:r>
        <w:t>((</w:t>
      </w:r>
      <w:r>
        <w:rPr>
          <w:strike/>
        </w:rPr>
        <w:t xml:space="preserve">within one year of July 28, 2019</w:t>
      </w:r>
      <w:r>
        <w:t>))</w:t>
      </w:r>
      <w:r>
        <w:rPr/>
        <w:t xml:space="preserve"> </w:t>
      </w:r>
      <w:r>
        <w:rPr>
          <w:u w:val="single"/>
        </w:rPr>
        <w:t xml:space="preserve">by December 1, 2020</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maximum capacity of the tax</w:t>
      </w:r>
      <w:r>
        <w:rPr/>
        <w:t xml:space="preserve">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w:t>
      </w:r>
      <w:r>
        <w:rPr>
          <w:u w:val="single"/>
        </w:rPr>
        <w:t xml:space="preserve">to authorize the maximum capacity of the tax</w:t>
      </w:r>
      <w:r>
        <w:rPr/>
        <w:t xml:space="preserve"> in accordance with the terms of </w:t>
      </w:r>
      <w:r>
        <w:t>((</w:t>
      </w:r>
      <w:r>
        <w:rPr>
          <w:strike/>
        </w:rPr>
        <w:t xml:space="preserve">this section</w:t>
      </w:r>
      <w:r>
        <w:t>))</w:t>
      </w:r>
      <w:r>
        <w:rPr/>
        <w:t xml:space="preserve"> </w:t>
      </w:r>
      <w:r>
        <w:rPr>
          <w:u w:val="single"/>
        </w:rPr>
        <w:t xml:space="preserve">(e)(i)(A) of this subsection (2)</w:t>
      </w:r>
      <w:r>
        <w:rPr/>
        <w:t xml:space="preserve">, the county or city may not authorize, fix, and impose the tax.</w:t>
      </w:r>
    </w:p>
    <w:p>
      <w:pPr>
        <w:spacing w:before="0" w:after="0" w:line="408" w:lineRule="exact"/>
        <w:ind w:left="0" w:right="0" w:firstLine="576"/>
        <w:jc w:val="left"/>
      </w:pPr>
      <w:r>
        <w:rPr>
          <w:u w:val="single"/>
        </w:rPr>
        <w:t xml:space="preserve">(iv) If a county or city does not provide the department with copies of the adopted resolution of intent to authorize the maximum capacity of the tax in this section and copies of the legislation to authorize the maximum capacity of the tax in this section by December 1, 2020, the county or city may not authorize, fix, or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w:t>
      </w:r>
      <w:r>
        <w:t>((</w:t>
      </w:r>
      <w:r>
        <w:rPr>
          <w:strike/>
        </w:rPr>
        <w:t xml:space="preserve">the</w:t>
      </w:r>
      <w:r>
        <w:t>))</w:t>
      </w:r>
      <w:r>
        <w:rPr/>
        <w:t xml:space="preserve"> </w:t>
      </w:r>
      <w:r>
        <w:rPr>
          <w:u w:val="single"/>
        </w:rPr>
        <w:t xml:space="preserve">a preliminary</w:t>
      </w:r>
      <w:r>
        <w:rPr/>
        <w:t xml:space="preserv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(5) </w:t>
      </w:r>
      <w:r>
        <w:rPr>
          <w:u w:val="single"/>
        </w:rPr>
        <w:t xml:space="preserve">After December 1, 2020, and by December 31, 2020, the department must calculate a final maximum amount of tax distributions for each county and city authorizing the tax under this section using the method in subsection (4) of this section.</w:t>
      </w:r>
    </w:p>
    <w:p>
      <w:pPr>
        <w:spacing w:before="0" w:after="0" w:line="408" w:lineRule="exact"/>
        <w:ind w:left="0" w:right="0" w:firstLine="576"/>
        <w:jc w:val="left"/>
      </w:pPr>
      <w:r>
        <w:rPr>
          <w:u w:val="single"/>
        </w:rPr>
        <w:t xml:space="preserve">(6)(a)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December 31, 2020,</w:t>
      </w:r>
      <w:r>
        <w:rPr/>
        <w:t xml:space="preserve"> the </w:t>
      </w:r>
      <w:r>
        <w:rPr>
          <w:u w:val="single"/>
        </w:rPr>
        <w:t xml:space="preserve">preliminary</w:t>
      </w:r>
      <w:r>
        <w:rPr/>
        <w:t xml:space="preserve"> maximum amount </w:t>
      </w:r>
      <w:r>
        <w:rPr>
          <w:u w:val="single"/>
        </w:rPr>
        <w:t xml:space="preserve">calculated</w:t>
      </w:r>
      <w:r>
        <w:rPr/>
        <w:t xml:space="preserve"> in subsection (4) of this section</w:t>
      </w:r>
      <w:r>
        <w:rPr>
          <w:u w:val="single"/>
        </w:rPr>
        <w:t xml:space="preserve">; and</w:t>
      </w:r>
    </w:p>
    <w:p>
      <w:pPr>
        <w:spacing w:before="0" w:after="0" w:line="408" w:lineRule="exact"/>
        <w:ind w:left="0" w:right="0" w:firstLine="576"/>
        <w:jc w:val="left"/>
      </w:pPr>
      <w:r>
        <w:rPr>
          <w:u w:val="single"/>
        </w:rPr>
        <w:t xml:space="preserve">(ii) Beginning January 1, 2021, the final maximum amount calculated in subsection (5)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three percent of the annual tax distributed to the jurisdiction under this section.</w:t>
      </w:r>
    </w:p>
    <w:p>
      <w:pPr>
        <w:spacing w:before="0" w:after="0" w:line="408" w:lineRule="exact"/>
        <w:ind w:left="0" w:right="0" w:firstLine="576"/>
        <w:jc w:val="left"/>
      </w:pPr>
      <w:r>
        <w:rPr>
          <w:u w:val="single"/>
        </w:rPr>
        <w:t xml:space="preserve">(8)</w:t>
      </w:r>
      <w:r>
        <w:rPr/>
        <w:t xml:space="preserve"> The housing and services provided pursuant to subsection </w:t>
      </w:r>
      <w:r>
        <w:t>((</w:t>
      </w:r>
      <w:r>
        <w:rPr>
          <w:strike/>
        </w:rPr>
        <w:t xml:space="preserve">(6)</w:t>
      </w:r>
      <w:r>
        <w:t>))</w:t>
      </w:r>
      <w:r>
        <w:rPr/>
        <w:t xml:space="preserve"> </w:t>
      </w:r>
      <w:r>
        <w:rPr>
          <w:u w:val="single"/>
        </w:rPr>
        <w:t xml:space="preserve">(7)</w:t>
      </w:r>
      <w:r>
        <w:rPr/>
        <w:t xml:space="preserve"> of this section may only be provided to persons whose income is at or below sixty percent of the median income of the county or city imposing the tax </w:t>
      </w:r>
      <w:r>
        <w:rPr>
          <w:u w:val="single"/>
        </w:rPr>
        <w:t xml:space="preserve">at the time of initial occupancy for each renter household, at the time of each purchase for owner-occupied units, or, in the case of rental assistance, at each required income certification or recertification of the renter household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determining the use of funds under subsection </w:t>
      </w:r>
      <w:r>
        <w:t>((</w:t>
      </w:r>
      <w:r>
        <w:rPr>
          <w:strike/>
        </w:rPr>
        <w:t xml:space="preserve">(6)</w:t>
      </w:r>
      <w:r>
        <w:t>))</w:t>
      </w:r>
      <w:r>
        <w:rPr/>
        <w:t xml:space="preserve"> </w:t>
      </w:r>
      <w:r>
        <w:rPr>
          <w:u w:val="single"/>
        </w:rPr>
        <w:t xml:space="preserve">(7)</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r>
        <w:rPr>
          <w:u w:val="single"/>
        </w:rPr>
        <w:t xml:space="preserve">A county may not pledge for repayment of such bonds any moneys collected from retail sales within the limits of a city until January 1, 2021.</w:t>
      </w:r>
    </w:p>
    <w:p>
      <w:pPr>
        <w:spacing w:before="0" w:after="0" w:line="408" w:lineRule="exact"/>
        <w:ind w:left="0" w:right="0" w:firstLine="576"/>
        <w:jc w:val="left"/>
      </w:pPr>
      <w:r>
        <w:t>((</w:t>
      </w:r>
      <w:r>
        <w:rPr>
          <w:strike/>
        </w:rPr>
        <w:t xml:space="preserve">(10) A</w:t>
      </w:r>
      <w:r>
        <w:t>))</w:t>
      </w:r>
      <w:r>
        <w:rPr/>
        <w:t xml:space="preserve"> </w:t>
      </w:r>
      <w:r>
        <w:rPr>
          <w:u w:val="single"/>
        </w:rPr>
        <w:t xml:space="preserve">(11) To carry out the purposes of this section, a</w:t>
      </w:r>
      <w:r>
        <w:rPr/>
        <w:t xml:space="preserve"> county or city may enter into </w:t>
      </w:r>
      <w:r>
        <w:rPr>
          <w:u w:val="single"/>
        </w:rPr>
        <w:t xml:space="preserve">a contract or</w:t>
      </w:r>
      <w:r>
        <w:rPr/>
        <w:t xml:space="preserve"> an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agencies or private entities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that the housing or services provided with moneys collected under this section comply with the use restrictions in subsection (7) of this section and the income restrictions in subsection (8)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f623d7aec98743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3473b58994f03" /><Relationship Type="http://schemas.openxmlformats.org/officeDocument/2006/relationships/footer" Target="/word/footer1.xml" Id="Rf623d7aec987430a" /></Relationships>
</file>