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88901176cc45c5" /></Relationships>
</file>

<file path=word/document.xml><?xml version="1.0" encoding="utf-8"?>
<w:document xmlns:w="http://schemas.openxmlformats.org/wordprocessingml/2006/main">
  <w:body>
    <w:p>
      <w:r>
        <w:t>H-4402.4</w:t>
      </w:r>
    </w:p>
    <w:p>
      <w:pPr>
        <w:jc w:val="center"/>
      </w:pPr>
      <w:r>
        <w:t>_______________________________________________</w:t>
      </w:r>
    </w:p>
    <w:p/>
    <w:p>
      <w:pPr>
        <w:jc w:val="center"/>
      </w:pPr>
      <w:r>
        <w:rPr>
          <w:b/>
        </w:rPr>
        <w:t>SUBSTITUTE HOUSE BILL 2820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Civil Rights &amp; Judiciary (originally sponsored by Representatives Klippert, Kilduff, Davis, Goodman, and Pollet)</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 orders involving weapons or domestic violence; amending RCW 10.99.040; and reenacting and amending RCW 9.41.800.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800</w:t>
      </w:r>
      <w:r>
        <w:rPr/>
        <w:t xml:space="preserve"> and 2019 c 245 s 1 and 2019 c 46 s 5006 are each reenacted and amended to read as follows:</w:t>
      </w:r>
    </w:p>
    <w:p>
      <w:pPr>
        <w:spacing w:before="0" w:after="0" w:line="408" w:lineRule="exact"/>
        <w:ind w:left="0" w:right="0" w:firstLine="576"/>
        <w:jc w:val="left"/>
      </w:pPr>
      <w:r>
        <w:rPr/>
        <w:t xml:space="preserve">(1) Any court when entering an order authorized under chapter 7.92 RCW, RCW 7.90.090, 9A.46.080, 10.14.080, 10.99.040, 10.99.045, 26.09.050, 26.09.060, 26.10.040, 26.10.115, 26.26B.020, 26.50.060, 26.50.070, or 26.26A.470 shall, upon a showing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any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(2) Any court when entering an order authorized under chapter 7.92 RCW, RCW 7.90.090, 9A.46.080, 10.14.080, 10.99.040, 10.99.045, 26.09.050, 26.09.060, 26.10.040, 26.10.115, 26.26B.020, 26.50.060, 26.50.070, or 26.26A.470 may, upon a showing by a preponderance of the evidence but not by clear and convincing evidence, that a party has: Used, displayed, or threatened to use a firearm or other dangerous weapon in a felony, or is ineligible to possess a firearm under the provisions of RCW 9.41.040:</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(3) During any period of time that the person is subject to a court order issued under chapter 7.90, 7.92, 9A.46, 10.14, 10.99, 26.09, 26.10, 26.26A, 26.26B,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 the court shall:</w:t>
      </w:r>
    </w:p>
    <w:p>
      <w:pPr>
        <w:spacing w:before="0" w:after="0" w:line="408" w:lineRule="exact"/>
        <w:ind w:left="0" w:right="0" w:firstLine="576"/>
        <w:jc w:val="left"/>
      </w:pPr>
      <w:r>
        <w:rPr/>
        <w:t xml:space="preserve">(A) Require that the party immediately surrender all firearms and other dangerous weapons;</w:t>
      </w:r>
    </w:p>
    <w:p>
      <w:pPr>
        <w:spacing w:before="0" w:after="0" w:line="408" w:lineRule="exact"/>
        <w:ind w:left="0" w:right="0" w:firstLine="576"/>
        <w:jc w:val="left"/>
      </w:pPr>
      <w:r>
        <w:rPr/>
        <w:t xml:space="preserve">(B) Require that the party immediately surrender a concealed pistol license issued under RCW 9.41.070;</w:t>
      </w:r>
    </w:p>
    <w:p>
      <w:pPr>
        <w:spacing w:before="0" w:after="0" w:line="408" w:lineRule="exact"/>
        <w:ind w:left="0" w:right="0" w:firstLine="576"/>
        <w:jc w:val="left"/>
      </w:pPr>
      <w:r>
        <w:rPr/>
        <w:t xml:space="preserve">(C) Prohibit the party from accessing, obtaining, or possessing any firearms or other dangerous weapons; and</w:t>
      </w:r>
    </w:p>
    <w:p>
      <w:pPr>
        <w:spacing w:before="0" w:after="0" w:line="408" w:lineRule="exact"/>
        <w:ind w:left="0" w:right="0" w:firstLine="576"/>
        <w:jc w:val="left"/>
      </w:pPr>
      <w:r>
        <w:rPr/>
        <w:t xml:space="preserve">(D) Prohibit the party from obtaining or possessing a concealed pistol license.</w:t>
      </w:r>
    </w:p>
    <w:p>
      <w:pPr>
        <w:spacing w:before="0" w:after="0" w:line="408" w:lineRule="exact"/>
        <w:ind w:left="0" w:right="0" w:firstLine="576"/>
        <w:jc w:val="left"/>
      </w:pPr>
      <w:r>
        <w:rPr/>
        <w:t xml:space="preserve">(4) The court may order temporary surrender of all firearms and other dangerous weapons, and any concealed pistol license, without notice to the other party if it finds, on the basis of the moving affidavit or other evidence, that irreparable injury could result if an order is not issued until the time for response has elapsed.</w:t>
      </w:r>
    </w:p>
    <w:p>
      <w:pPr>
        <w:spacing w:before="0" w:after="0" w:line="408" w:lineRule="exact"/>
        <w:ind w:left="0" w:right="0" w:firstLine="576"/>
        <w:jc w:val="left"/>
      </w:pPr>
      <w:r>
        <w:rPr/>
        <w:t xml:space="preserve">(5) In addition to the provisions of subsections (1), (2), and (4) of this section, the court may enter an order requiring a party to comply with the provisions in subsection (1) of this section if it finds that the possession of a firearm or other dangerous weapon by any party presents a serious and imminent threat to public health or safety, or to the health or safety of any individual.</w:t>
      </w:r>
    </w:p>
    <w:p>
      <w:pPr>
        <w:spacing w:before="0" w:after="0" w:line="408" w:lineRule="exact"/>
        <w:ind w:left="0" w:right="0" w:firstLine="576"/>
        <w:jc w:val="left"/>
      </w:pPr>
      <w:r>
        <w:rPr/>
        <w:t xml:space="preserve">(6) The requirements of subsections (1), (2), and (5) of this section may be for a period of time less than the duration of the order.</w:t>
      </w:r>
    </w:p>
    <w:p>
      <w:pPr>
        <w:spacing w:before="0" w:after="0" w:line="408" w:lineRule="exact"/>
        <w:ind w:left="0" w:right="0" w:firstLine="576"/>
        <w:jc w:val="left"/>
      </w:pPr>
      <w:r>
        <w:rPr/>
        <w:t xml:space="preserve">(7) The court may require the party to surrender all firearms and other dangerous weapons in his or her immediate possession or control or subject to his or her immediate possession or control, and any concealed pistol license issued under RCW 9.41.070, to the local law enforcement agency. Law enforcement officers shall use law enforcement databases to assist in locating the respondent in situations where the protected person does not know where the respondent lives or where there is evidence that the respondent is trying to evade service.</w:t>
      </w:r>
    </w:p>
    <w:p>
      <w:pPr>
        <w:spacing w:before="0" w:after="0" w:line="408" w:lineRule="exact"/>
        <w:ind w:left="0" w:right="0" w:firstLine="576"/>
        <w:jc w:val="left"/>
      </w:pPr>
      <w:r>
        <w:rPr/>
        <w:t xml:space="preserve">(8) If the court enters a protection order, restraining order, or no-contact order that includes an order to surrender firearms, dangerous weapons, and any concealed pistol license under this section, the order must be served by a law enforcement officer. </w:t>
      </w:r>
      <w:r>
        <w:rPr>
          <w:u w:val="single"/>
        </w:rPr>
        <w:t xml:space="preserve">However, the order must be personally served upon the respondent or defendant if the order is entered in open court in the presence of the respondent or defendant. The respondent or defendant shall acknowledge receipt and service. If the respondent or defendant refuses service, an agent of the court may indicate on the record that the respondent or defendant refused service. The court shall enter the service and receipt into the record. A copy of the order and service shall be immediately transmitted to law enforcement.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2019 c 367 s 4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w:t>
      </w:r>
      <w:r>
        <w:rPr>
          <w:u w:val="single"/>
        </w:rPr>
        <w:t xml:space="preserve">, declaration in support of probable cause, or other summary documentation of the police incident report</w:t>
      </w:r>
      <w:r>
        <w:rPr/>
        <w:t xml:space="preserve">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reimburse the providing agency for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26.50.110.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26.50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
      <w:pPr>
        <w:jc w:val="center"/>
      </w:pPr>
      <w:r>
        <w:rPr>
          <w:b/>
        </w:rPr>
        <w:t>--- END ---</w:t>
      </w:r>
    </w:p>
    <w:sectPr>
      <w:pgNumType w:start="1"/>
      <w:footerReference xmlns:r="http://schemas.openxmlformats.org/officeDocument/2006/relationships" r:id="R07583035c74643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944a7a4b9044e7" /><Relationship Type="http://schemas.openxmlformats.org/officeDocument/2006/relationships/footer" Target="/word/footer1.xml" Id="R07583035c7464395" /></Relationships>
</file>