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2e72adf3b4e44" /></Relationships>
</file>

<file path=word/document.xml><?xml version="1.0" encoding="utf-8"?>
<w:document xmlns:w="http://schemas.openxmlformats.org/wordprocessingml/2006/main">
  <w:body>
    <w:p>
      <w:r>
        <w:t>H-5032.4</w:t>
      </w:r>
    </w:p>
    <w:p>
      <w:pPr>
        <w:jc w:val="center"/>
      </w:pPr>
      <w:r>
        <w:t>_______________________________________________</w:t>
      </w:r>
    </w:p>
    <w:p/>
    <w:p>
      <w:pPr>
        <w:jc w:val="center"/>
      </w:pPr>
      <w:r>
        <w:rPr>
          <w:b/>
        </w:rPr>
        <w:t>HOUSE BILL 2947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Kilduff, Senn, Peterson, Doglio, Orwall, Walen, Bergquist, Gregerson, Macri, and Pollet</w:t>
      </w:r>
    </w:p>
    <w:p/>
    <w:p>
      <w:r>
        <w:rPr>
          <w:t xml:space="preserve">Read first time 02/21/20.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possession, distribution, importation, selling, offering for sale, purchasing, or transfer of large capacity magazines, and making a violation of these restrictions a gross misdemeanor offense, by defining large capacity magazines to apply to ammunition feeding devices with the capacity to accept more than fifteen rounds of ammunition, by allowing continued possession of large capacity magazines limited to those possessed prior to June 11, 2020, and those inherited on or after June 11, 2020, subject to restrictions on the ability to sell or transfer such large capacity magazines, requiring that they be stored in secure gun storage, and permitting their possession only on the owner's property or while engaged in lawful outdoor recreational activities or use at a licensed shooting range or when transporting the large capacity magazine to or from these locations unloaded and in a locked separate container, by providing limited exemptions solely for government officers, agents, or employees, or government contractors who provide firearms training to law enforcement, while acting within official duties, for licensed manufacturers and dealers for the purposes of sale of large capacity magazines to law enforcement or the military, for licensed dealers who acquire large capacity magazines from lawful owners for the purposes of sale to a resident of another state, for gunsmiths for the purpose of service or repair of a large capacity magazine, for individuals for the purpose of lawfully participating in an officially sanctioned sport shooting event or while lawfully engaged in shooting at a licensed shooting range, for law enforcement and corrections officers and military members while acting within the scope of official duties, for retired law enforcement officers who receive a large capacity magazine in connection with their separation from service, and for individuals for the purpose of permanently relinquishing a large capacity magazine to law enforcement for destruction, by establishing a large capacity magazine buy-back program to be operated by the Washington state patrol between July 1, 2020, and June 30, 2021, within amounts appropriated for this purpose that allows a resident to receive compensation for up to five large capacity magazines in an amount determined by the Washington state patrol based on fair market value, by creating a public records act exemption for personal information of persons participating in the large capacity magazine buy-back program, and by repealing the precious metal bullion and monetized bullion tax preference to fund the large capacity magazine buy-back program; reenacting and amending RCW 42.56.230; adding a new section to chapter 9.41 RCW; adding new sections to chapter 43.43 RCW; adding a new section to chapter 82.04 RCW; creating a new section; repealing RCW 82.04.062; prescribing penalties;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before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is subject to the provisions of subsection (3) of this section;</w:t>
      </w:r>
    </w:p>
    <w:p>
      <w:pPr>
        <w:spacing w:before="0" w:after="0" w:line="408" w:lineRule="exact"/>
        <w:ind w:left="0" w:right="0" w:firstLine="576"/>
        <w:jc w:val="left"/>
      </w:pPr>
      <w:r>
        <w:rPr/>
        <w:t xml:space="preserve">(b) Any government officer, agent, or employee, or government contractor hired to provide firearms training to law enforcement officers,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importation or possession of a large capacity magazine by a club or organization established in whole or in part for the purpose of sponsoring sport shooting events and by a person for the purpose of lawfully participating in a sport shooting event officially sanctioned by such a club or organization;</w:t>
      </w:r>
    </w:p>
    <w:p>
      <w:pPr>
        <w:spacing w:before="0" w:after="0" w:line="408" w:lineRule="exact"/>
        <w:ind w:left="0" w:right="0" w:firstLine="576"/>
        <w:jc w:val="left"/>
      </w:pPr>
      <w:r>
        <w:rPr/>
        <w:t xml:space="preserve">(h)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(i)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(j) Members of the armed forces of the United States or the state of Washington, or of the national guard or military reserves,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(k) Any persons while otherwise lawfully engaged in shooting at a duly licensed, lawfully operated shooting range; or</w:t>
      </w:r>
    </w:p>
    <w:p>
      <w:pPr>
        <w:spacing w:before="0" w:after="0" w:line="408" w:lineRule="exact"/>
        <w:ind w:left="0" w:right="0" w:firstLine="576"/>
        <w:jc w:val="left"/>
      </w:pPr>
      <w:r>
        <w:rPr/>
        <w:t xml:space="preserve">(l)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A person who lawfully possesses a large capacity magazine under subsection (2)(a) of this section must comply with the following:</w:t>
      </w:r>
    </w:p>
    <w:p>
      <w:pPr>
        <w:spacing w:before="0" w:after="0" w:line="408" w:lineRule="exact"/>
        <w:ind w:left="0" w:right="0" w:firstLine="576"/>
        <w:jc w:val="left"/>
      </w:pPr>
      <w:r>
        <w:rPr/>
        <w:t xml:space="preserve">(a) The person shall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The person shall store the large capacity magazine in a secure gun storage; and</w:t>
      </w:r>
    </w:p>
    <w:p>
      <w:pPr>
        <w:spacing w:before="0" w:after="0" w:line="408" w:lineRule="exact"/>
        <w:ind w:left="0" w:right="0" w:firstLine="576"/>
        <w:jc w:val="left"/>
      </w:pPr>
      <w:r>
        <w:rPr/>
        <w:t xml:space="preserve">(c) The person shall possess the large capacity magazine only on property owned or immediately controlled by the person, while engaged in the legal use of the large capacity magazine at a duly licensed shooting range, while engaged in a lawful outdoor recreational activity such as hunting, or while traveling to or from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fifteen rounds of ammunition, or any conversion kit, part, or combination of parts, from which such a device can be assembled if those parts are in the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fifteen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and administer a large capacity magazine buy-back program to allow a person in possession of a large capacity magazine to relinquish the device to the Washington state patrol in exchange for a monetary payment established under this section. The Washington state patrol shall adopt rules to implement the large capacity magazine buy-back program according to the following standards:</w:t>
      </w:r>
    </w:p>
    <w:p>
      <w:pPr>
        <w:spacing w:before="0" w:after="0" w:line="408" w:lineRule="exact"/>
        <w:ind w:left="0" w:right="0" w:firstLine="576"/>
        <w:jc w:val="left"/>
      </w:pPr>
      <w:r>
        <w:rPr/>
        <w:t xml:space="preserve">(a) The buy-back program must be implemented between July 1, 2020, and June 30, 2021, at locations in regions throughout the state;</w:t>
      </w:r>
    </w:p>
    <w:p>
      <w:pPr>
        <w:spacing w:before="0" w:after="0" w:line="408" w:lineRule="exact"/>
        <w:ind w:left="0" w:right="0" w:firstLine="576"/>
        <w:jc w:val="left"/>
      </w:pPr>
      <w:r>
        <w:rPr/>
        <w:t xml:space="preserve">(b) The buy-back program must allow a Washington resident to relinquish up to five large capacity magazines in exchange for a monetary payment in an amount determined by the Washington state patrol based on fair market value;</w:t>
      </w:r>
    </w:p>
    <w:p>
      <w:pPr>
        <w:spacing w:before="0" w:after="0" w:line="408" w:lineRule="exact"/>
        <w:ind w:left="0" w:right="0" w:firstLine="576"/>
        <w:jc w:val="left"/>
      </w:pPr>
      <w:r>
        <w:rPr/>
        <w:t xml:space="preserve">(c) The Washington state patrol shall establish the method for providing the monetary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for a person to receive a monetary payment under the buy-back program. The program must be operated on a first-come, first-served basis and no payments may be made that would require the Washington state patrol to exceed the amount appropriated for this purpose; and</w:t>
      </w:r>
    </w:p>
    <w:p>
      <w:pPr>
        <w:spacing w:before="0" w:after="0" w:line="408" w:lineRule="exact"/>
        <w:ind w:left="0" w:right="0" w:firstLine="576"/>
        <w:jc w:val="left"/>
      </w:pPr>
      <w:r>
        <w:rPr/>
        <w:t xml:space="preserve">(e) The Washington state patrol shall establish guidelines for the destruction or other disposition of large capacity magazines relinquished under this section.</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large capacity magazine buy-back program account is created in the custody of the state treasurer. All receipts from taxes collected and directed to be transferred pursuant to section 4(2) of this act must be deposited into the account. Moneys in the account may be spent only after appropriation. Expenditures from the account may be used only for the purposes of the large capacity magazine buy-back program established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At least one month before the end of each quarter, beginning September 30, 2020, the department must calculate the proceeds of the tax imposed on taxpayers who were exempted by RCW 82.04.062 prior to the effective date of section 6 of this act, generated for the most recently completed quarter.</w:t>
      </w:r>
    </w:p>
    <w:p>
      <w:pPr>
        <w:spacing w:before="0" w:after="0" w:line="408" w:lineRule="exact"/>
        <w:ind w:left="0" w:right="0" w:firstLine="576"/>
        <w:jc w:val="left"/>
      </w:pPr>
      <w:r>
        <w:rPr/>
        <w:t xml:space="preserve">(2) By the last day of each quarter, beginning September 30, 2020, the department must notify the state treasurer of the calculations under subsection (1) of this section. The state treasurer shall transfer into the large capacity magazine buy-back program account created in section 3 of this act, the amount determined under subsection (1) of this section by the beginning of the quarter immediately following.</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w:t>
      </w:r>
      <w:r>
        <w:t>((</w:t>
      </w:r>
      <w:r>
        <w:rPr>
          <w:strike/>
        </w:rPr>
        <w:t xml:space="preserve">and</w:t>
      </w:r>
      <w:r>
        <w:t>))</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r>
        <w:rPr>
          <w:u w:val="single"/>
        </w:rPr>
        <w:t xml:space="preserve">; and</w:t>
      </w:r>
    </w:p>
    <w:p>
      <w:pPr>
        <w:spacing w:before="0" w:after="0" w:line="408" w:lineRule="exact"/>
        <w:ind w:left="0" w:right="0" w:firstLine="576"/>
        <w:jc w:val="left"/>
      </w:pPr>
      <w:r>
        <w:rPr>
          <w:u w:val="single"/>
        </w:rPr>
        <w:t xml:space="preserve">(13) Names, addresses, or other personal information of individuals who participate in the large capacity magazine buy-back program under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6 of this act does not affect any existing right acquired or liability or obligation incurred under the statute repealed or under any rule or order adopted under that statute nor does it affect any proceeding instituted under the repealed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are necessary for the immediate preservation of the public peace, health, or safety, or support of the state government and its existing public institutions, and take effect April 1, 2020.</w:t>
      </w:r>
    </w:p>
    <w:p/>
    <w:p>
      <w:pPr>
        <w:jc w:val="center"/>
      </w:pPr>
      <w:r>
        <w:rPr>
          <w:b/>
        </w:rPr>
        <w:t>--- END ---</w:t>
      </w:r>
    </w:p>
    <w:sectPr>
      <w:pgNumType w:start="1"/>
      <w:footerReference xmlns:r="http://schemas.openxmlformats.org/officeDocument/2006/relationships" r:id="R84044f7b37314b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8da8411004a6f" /><Relationship Type="http://schemas.openxmlformats.org/officeDocument/2006/relationships/footer" Target="/word/footer1.xml" Id="R84044f7b37314bc9" /></Relationships>
</file>