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b2091b29342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85</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Slatter, Ryu, Macri, Wylie, Bergquist, and Santos)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amending 2018 c 103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to be sold to low-income households including land to be leased as provided in subsection (8)</w:t>
      </w:r>
      <w:r>
        <w:t>((</w:t>
      </w:r>
      <w:r>
        <w:rPr>
          <w:strike/>
        </w:rPr>
        <w:t xml:space="preserve">(d)</w:t>
      </w:r>
      <w:r>
        <w:t>))</w:t>
      </w:r>
      <w:r>
        <w:rPr/>
        <w:t xml:space="preserve"> </w:t>
      </w:r>
      <w:r>
        <w:rPr>
          <w:u w:val="single"/>
        </w:rPr>
        <w:t xml:space="preserve">(e)</w:t>
      </w:r>
      <w:r>
        <w:rPr/>
        <w:t xml:space="preserve">(ii)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 </w:t>
      </w:r>
      <w:r>
        <w:rPr>
          <w:u w:val="single"/>
        </w:rPr>
        <w:t xml:space="preserve">or the date on which the qualified cooperative association first conveys, directly or indirectly through the transfer of an ownership interest in the association, any single-family dwelling unit on the property or any part of the property.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w:t>
      </w:r>
      <w:r>
        <w:rPr>
          <w:u w:val="single"/>
        </w:rPr>
        <w:t xml:space="preserve">or if a qualified cooperative association believes that neither a single-family dwelling unit nor any other part of the property will be transferred by the end of the sixth consecutive property tax year</w:t>
      </w:r>
      <w:r>
        <w:rPr/>
        <w:t xml:space="preserve">,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w:t>
      </w:r>
      <w:r>
        <w:rPr>
          <w:u w:val="single"/>
        </w:rPr>
        <w:t xml:space="preserve">, or if a qualified cooperative association has not transferred either a single-family dwelling unit or any other property,</w:t>
      </w:r>
      <w:r>
        <w:rPr/>
        <w:t xml:space="preserve">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w:t>
      </w:r>
      <w:r>
        <w:rPr>
          <w:u w:val="single"/>
        </w:rPr>
        <w:t xml:space="preserve">(a)</w:t>
      </w:r>
      <w:r>
        <w:rPr/>
        <w:t xml:space="preserve">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u w:val="single"/>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u w:val="single"/>
        </w:rPr>
        <w:t xml:space="preserve">(c)</w:t>
      </w:r>
      <w:r>
        <w:rPr/>
        <w:t xml:space="preserve">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associations</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103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 [chapter 103, Laws of 2018 and chapter 217, Laws of 2016]</w:t>
      </w:r>
      <w:r>
        <w:t>))</w:t>
      </w:r>
      <w:r>
        <w:rPr/>
        <w:t xml:space="preserve"> </w:t>
      </w:r>
      <w:r>
        <w:rPr>
          <w:u w:val="single"/>
        </w:rPr>
        <w:t xml:space="preserve">chapter . . ., Laws of 2019 (this act), chapter 103, Laws of 2018, and chapter 217, Laws of 2016</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ninety-nine years,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w:t>
      </w:r>
      <w:r>
        <w:rPr>
          <w:u w:val="single"/>
        </w:rPr>
        <w:t xml:space="preserve">and qualified cooperative association</w:t>
      </w:r>
      <w:r>
        <w:rPr/>
        <w:t xml:space="preserve">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w:t>
      </w:r>
      <w:r>
        <w:rPr>
          <w:u w:val="single"/>
        </w:rPr>
        <w:t xml:space="preserve">and qualified cooperative associations</w:t>
      </w:r>
      <w:r>
        <w:rPr/>
        <w:t xml:space="preserve"> claiming the exemption, program spending, program expenses, or another ratio representing the percentage of the nonprofit entity's </w:t>
      </w:r>
      <w:r>
        <w:rPr>
          <w:u w:val="single"/>
        </w:rPr>
        <w:t xml:space="preserve">and qualified cooperative association's</w:t>
      </w:r>
      <w:r>
        <w:rPr/>
        <w:t xml:space="preserve">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w:t>
      </w:r>
      <w:r>
        <w:rPr>
          <w:u w:val="single"/>
        </w:rPr>
        <w:t xml:space="preserve">or qualified cooperative association</w:t>
      </w:r>
      <w:r>
        <w:rPr/>
        <w:t xml:space="preserve"> claiming this tax preference, as defined in section 2 of this act, and provided by nonprofit entities </w:t>
      </w:r>
      <w:r>
        <w:rPr>
          <w:u w:val="single"/>
        </w:rPr>
        <w:t xml:space="preserve">or qualified cooperative associations</w:t>
      </w:r>
      <w:r>
        <w:rPr/>
        <w:t xml:space="preserve">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NumType w:start="1"/>
      <w:footerReference xmlns:r="http://schemas.openxmlformats.org/officeDocument/2006/relationships" r:id="R91f1491b0dd746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863506b08454a" /><Relationship Type="http://schemas.openxmlformats.org/officeDocument/2006/relationships/footer" Target="/word/footer1.xml" Id="R91f1491b0dd746f4" /></Relationships>
</file>