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cbd1fd09847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72</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38</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Lovick and Ryu; by request of Department of Licensing and Washington Traffic Safety Commission)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46.20.500, 3.62.090, 2.68.040, and 46.63.110;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target zero is Washington's strategic highway safety plan of zero traffic fatalities by 2030 and the number of motorcycle involved fatalities has doubled since the 1990s and remains at a high level. Motorcycles are involved in nearly twenty percent of fatal and serious injury crashes while they make up only three percent of the total registered vehicles. Motorcyclists are also at fault in seventy-five percent of motorcycle fatalities. In order to move Washington closer to target zero, the department of licensing is updating its motorcycle safety program with feedback from the national highway traffic safety administration, the Washington traffic safety commission, and other stakeholders. These changes will improve public safety by creating a more meaningful and comprehensive motorcycle endorsement test, providing training programs greater flexibility, increasing penalties to discourage unendorsed riders, and focusing motorcycle subsidies on expanding access to motorcycle ridership.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w:t>
      </w:r>
      <w:r>
        <w:t>((</w:t>
      </w:r>
      <w:r>
        <w:rPr>
          <w:strike/>
        </w:rPr>
        <w:t xml:space="preserve">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 certification, and audit process will be borne by the program seeking certification</w:t>
      </w:r>
      <w:r>
        <w:t>))</w:t>
      </w:r>
      <w:r>
        <w:rPr/>
        <w:t xml:space="preserve"> </w:t>
      </w:r>
      <w:r>
        <w:rPr>
          <w:u w:val="single"/>
        </w:rPr>
        <w:t xml:space="preserve">The department shall adopt rules to establish a motorcycle operator subsidy program, which may address testing costs, offer financial need-based subsidies for motorcycle training, and employ other strategies to improve access to motorcycle ridership</w:t>
      </w:r>
      <w:r>
        <w:rPr/>
        <w:t xml:space="preserve">.</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u w:val="single"/>
        </w:rPr>
        <w:t xml:space="preserve">(c) If a motorcyclist fails the motorcycle endorsement skills test, but demonstrates a level of riding skill consistent with a motorcycle instruction permit, the department may waive any further skills testing required to obtain a motorcycle instruction permit.</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A person who violates this section commits a traffic infraction and is subject to: (a) The base penalty provided under RCW 46.63.110; and (b) an additional monetary penalty of two hundred fifty dollars, which must be deposited in the motorcycle safety education account under RCW 46.68.065.</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penalty imposed under RCW 46.20.500,</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under RCW 46.20.500.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penalty for a violation of RCW 46.20.500 is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7315f05813f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d341e7b6144fc" /><Relationship Type="http://schemas.openxmlformats.org/officeDocument/2006/relationships/footer" Target="/word/footer1.xml" Id="R77315f05813f4de6" /></Relationships>
</file>