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878165d20f41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1293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1293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Tharinger, Blake, Kretz, and Mosbrucker)</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monetary penalties to local courts and state agencies paid for failure to comply with discover pass requirements; and amending RCW 7.84.100.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2012 c 262 s 2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five hundred dollars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The maximum penalty imposed by the schedule shall be five hundred dollars per infraction and the minimum penalty imposed by the schedule shall be ten dollars per infraction. This schedule may be periodically reviewed by the legislature and is subject to its revision.</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rPr/>
        <w:t xml:space="preserve">(4)</w:t>
      </w:r>
      <w:r>
        <w:rPr>
          <w:u w:val="single"/>
        </w:rPr>
        <w:t xml:space="preserve">(a)</w:t>
      </w:r>
      <w:r>
        <w:rPr/>
        <w:t xml:space="preserve"> The county treasurer shall remit </w:t>
      </w:r>
      <w:r>
        <w:rPr>
          <w:u w:val="single"/>
        </w:rPr>
        <w:t xml:space="preserve">seventy-five percent of</w:t>
      </w:r>
      <w:r>
        <w:rPr/>
        <w:t xml:space="preserve"> the money received under RCW 79A.80.080(5) to the state treasurer.</w:t>
      </w:r>
    </w:p>
    <w:p>
      <w:pPr>
        <w:spacing w:before="0" w:after="0" w:line="408" w:lineRule="exact"/>
        <w:ind w:left="0" w:right="0" w:firstLine="576"/>
        <w:jc w:val="left"/>
      </w:pPr>
      <w:r>
        <w:rPr>
          <w:u w:val="single"/>
        </w:rPr>
        <w:t xml:space="preserve">(b)</w:t>
      </w:r>
      <w:r>
        <w:rPr/>
        <w:t xml:space="preserve"> Money remitted under this subsection to the state treasurer must be deposited in the recreation access pass account established under RCW 79A.80.090. </w:t>
      </w:r>
      <w:r>
        <w:rPr>
          <w:u w:val="single"/>
        </w:rPr>
        <w:t xml:space="preserve">The balance of the noninterest money received by the county treasurer must be deposited in the county current expense fund.</w:t>
      </w:r>
    </w:p>
    <w:p/>
    <w:p>
      <w:pPr>
        <w:jc w:val="center"/>
      </w:pPr>
      <w:r>
        <w:rPr>
          <w:b/>
        </w:rPr>
        <w:t>--- END ---</w:t>
      </w:r>
    </w:p>
    <w:sectPr>
      <w:pgNumType w:start="1"/>
      <w:footerReference xmlns:r="http://schemas.openxmlformats.org/officeDocument/2006/relationships" r:id="R41a924b3f59d49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e98dbb1bba4b99" /><Relationship Type="http://schemas.openxmlformats.org/officeDocument/2006/relationships/footer" Target="/word/footer1.xml" Id="R41a924b3f59d4985" /></Relationships>
</file>