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90058a3e645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38</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Harris, Jinkins, Klippert, Valdez, Walen, Tharinger, and Leavitt)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methods of services provided by the office of public guardianship; and amending RCW 2.72.005, 2.72.010, 2.72.020, 2.72.030, and 11.28.120.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may be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"Attorney-in-fact" means an agent authorized by an individual to act on his or her behalf pursuant to a power of attorney.</w:t>
      </w:r>
    </w:p>
    <w:p>
      <w:pPr>
        <w:spacing w:before="0" w:after="0" w:line="408" w:lineRule="exact"/>
        <w:ind w:left="0" w:right="0" w:firstLine="576"/>
        <w:jc w:val="left"/>
      </w:pPr>
      <w:r>
        <w:rPr>
          <w:u w:val="single"/>
        </w:rPr>
        <w:t xml:space="preserve">(2)</w:t>
      </w:r>
      <w:r>
        <w:rPr/>
        <w:t xml:space="preserve"> "Office" means the office of public guardianship.</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"Public guardian" means an individual or entity providing public guardianship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(6) "Representative payee" means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or a public guardian.</w:t>
      </w:r>
    </w:p>
    <w:p>
      <w:pPr>
        <w:spacing w:before="0" w:after="0" w:line="408" w:lineRule="exact"/>
        <w:ind w:left="0" w:right="0" w:firstLine="576"/>
        <w:jc w:val="left"/>
      </w:pPr>
      <w:r>
        <w:rPr>
          <w:u w:val="single"/>
        </w:rPr>
        <w:t xml:space="preserve">(8) "Trustee" means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w:t>
      </w:r>
      <w:r>
        <w:rPr>
          <w:u w:val="single"/>
        </w:rPr>
        <w:t xml:space="preserve">, supported decision-making assistance, and estate administration</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w:t>
      </w:r>
      <w:r>
        <w:rPr>
          <w:u w:val="single"/>
        </w:rPr>
        <w:t xml:space="preserve">, supported decision-making assistance, and estate administration</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w:t>
      </w:r>
      <w:r>
        <w:rPr>
          <w:u w:val="single"/>
        </w:rPr>
        <w:t xml:space="preserve">:</w:t>
      </w:r>
    </w:p>
    <w:p>
      <w:pPr>
        <w:spacing w:before="0" w:after="0" w:line="408" w:lineRule="exact"/>
        <w:ind w:left="0" w:right="0" w:firstLine="576"/>
        <w:jc w:val="left"/>
      </w:pPr>
      <w:r>
        <w:rPr>
          <w:u w:val="single"/>
        </w:rPr>
        <w:t xml:space="preserve">(i) P</w:t>
      </w:r>
      <w:r>
        <w:rPr/>
        <w:t xml:space="preserve">ublic guardianship</w:t>
      </w:r>
      <w:r>
        <w:rPr>
          <w:u w:val="single"/>
        </w:rPr>
        <w:t xml:space="preserve">, supported decision-making assistance, and estate administration</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w:t>
      </w:r>
      <w:r>
        <w:rPr>
          <w:u w:val="single"/>
        </w:rPr>
        <w:t xml:space="preserve">;</w:t>
      </w:r>
    </w:p>
    <w:p>
      <w:pPr>
        <w:spacing w:before="0" w:after="0" w:line="408" w:lineRule="exact"/>
        <w:ind w:left="0" w:right="0" w:firstLine="576"/>
        <w:jc w:val="left"/>
      </w:pPr>
      <w:r>
        <w:rPr>
          <w:u w:val="single"/>
        </w:rPr>
        <w:t xml:space="preserve">(ii) Supported decision-making services for a fee to persons age eighteen or older when there is no one else qualified who is willing and able to serve; and</w:t>
      </w:r>
    </w:p>
    <w:p>
      <w:pPr>
        <w:spacing w:before="0" w:after="0" w:line="408" w:lineRule="exact"/>
        <w:ind w:left="0" w:right="0" w:firstLine="576"/>
        <w:jc w:val="left"/>
      </w:pPr>
      <w:r>
        <w:rPr>
          <w:u w:val="single"/>
        </w:rPr>
        <w:t xml:space="preserve">(iii) Estate administration services for a fee to the estate of an individual who died at age eighteen or older, in circumstances where a service provider under contract with the office of public guardianship is granted letters under RCW 11.28.120(7)</w:t>
      </w:r>
      <w:r>
        <w:rPr/>
        <w:t xml:space="preserve">.</w:t>
      </w:r>
    </w:p>
    <w:p>
      <w:pPr>
        <w:spacing w:before="0" w:after="0" w:line="408" w:lineRule="exact"/>
        <w:ind w:left="0" w:right="0" w:firstLine="576"/>
        <w:jc w:val="left"/>
      </w:pPr>
      <w:r>
        <w:rPr>
          <w:u w:val="single"/>
        </w:rPr>
        <w:t xml:space="preserve">(b)</w:t>
      </w:r>
      <w:r>
        <w:rPr/>
        <w:t xml:space="preserve">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w:t>
      </w:r>
      <w:r>
        <w:t>((</w:t>
      </w:r>
      <w:r>
        <w:rPr>
          <w:strike/>
        </w:rPr>
        <w:t xml:space="preserve">office is exempt from RCW 39.29.008 because the</w:t>
      </w:r>
      <w:r>
        <w:t>))</w:t>
      </w:r>
      <w:r>
        <w:rPr/>
        <w:t xml:space="preserve"> primary function of the office is to contract for public guardianship</w:t>
      </w:r>
      <w:r>
        <w:rPr>
          <w:u w:val="single"/>
        </w:rPr>
        <w:t xml:space="preserve">, supported decision-making assistance, and estate administration</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Public guardianship</w:t>
      </w:r>
      <w:r>
        <w:rPr>
          <w:u w:val="single"/>
        </w:rPr>
        <w:t xml:space="preserve">, supported decision-making assistance, and estate administration</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w:t>
      </w:r>
      <w:r>
        <w:t>((</w:t>
      </w:r>
      <w:r>
        <w:rPr>
          <w:strike/>
        </w:rPr>
        <w:t xml:space="preserve">, within one year of the commencement of its operation,</w:t>
      </w:r>
      <w:r>
        <w:t>))</w:t>
      </w:r>
      <w:r>
        <w:rPr/>
        <w:t xml:space="preserve"> adopt </w:t>
      </w:r>
      <w:r>
        <w:rPr>
          <w:u w:val="single"/>
        </w:rPr>
        <w:t xml:space="preserve">and maintain</w:t>
      </w:r>
      <w:r>
        <w:rPr/>
        <w:t xml:space="preserve">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t xml:space="preserve"> </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w:t>
      </w:r>
      <w:r>
        <w:rPr>
          <w:u w:val="single"/>
        </w:rPr>
        <w:t xml:space="preserve">and contract service providers</w:t>
      </w:r>
      <w:r>
        <w:rPr/>
        <w:t xml:space="preserve"> providing public guardianship</w:t>
      </w:r>
      <w:r>
        <w:rPr>
          <w:u w:val="single"/>
        </w:rPr>
        <w:t xml:space="preserve">, supported decision-making assistance, and estate administration</w:t>
      </w:r>
      <w:r>
        <w:rPr/>
        <w:t xml:space="preserve"> services. Any public guardian providing such </w:t>
      </w:r>
      <w:r>
        <w:rPr>
          <w:u w:val="single"/>
        </w:rPr>
        <w:t xml:space="preserve">public guardianship</w:t>
      </w:r>
      <w:r>
        <w:rPr/>
        <w:t xml:space="preserve">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w:t>
      </w:r>
      <w:r>
        <w:t>((</w:t>
      </w:r>
      <w:r>
        <w:rPr>
          <w:strike/>
        </w:rPr>
        <w:t xml:space="preserve">The office shall not authorize payment for services for any entity that is serving more than twenty incapacitated persons per certified professional guardian.</w:t>
      </w:r>
      <w:r>
        <w:t>))</w:t>
      </w:r>
      <w:r>
        <w:rPr/>
        <w:t xml:space="preserve"> </w:t>
      </w:r>
      <w:r>
        <w:rPr>
          <w:u w:val="single"/>
        </w:rPr>
        <w:t xml:space="preserve">The office shall develop and adopt a case-weighting system designed to balance the increasing need for access to guardianship services, while effectively managing public guardian caseloads and providing appropriate supports for individuals on that caseload.</w:t>
      </w:r>
    </w:p>
    <w:p>
      <w:pPr>
        <w:spacing w:before="0" w:after="0" w:line="408" w:lineRule="exact"/>
        <w:ind w:left="0" w:right="0" w:firstLine="576"/>
        <w:jc w:val="left"/>
      </w:pPr>
      <w:r>
        <w:rPr>
          <w:u w:val="single"/>
        </w:rPr>
        <w:t xml:space="preserve">(a) The standard caseload limit for a contract service provider must be no more than twenty incapacitated persons per certified professional guardian. The office may authorize adjustments to the standard caseload limit on a case-by-case basis, and payment for services to a contract service provider that serves more than twenty incapacitated persons per professional guardian is subject to review by the office. In evaluating caseload size, the office shall consider the expected activities, time, and demands involved, as well as the available support for each case.</w:t>
      </w:r>
    </w:p>
    <w:p>
      <w:pPr>
        <w:spacing w:before="0" w:after="0" w:line="408" w:lineRule="exact"/>
        <w:ind w:left="0" w:right="0" w:firstLine="576"/>
        <w:jc w:val="left"/>
      </w:pPr>
      <w:r>
        <w:rPr>
          <w:u w:val="single"/>
        </w:rPr>
        <w:t xml:space="preserve">(b) Caseload limits must not exceed thirty-six cases. The office shall not authorize payment for services for any contract service provider that fails to comply with the standard caseload limit guidelines.</w:t>
      </w:r>
    </w:p>
    <w:p>
      <w:pPr>
        <w:spacing w:before="0" w:after="0" w:line="408" w:lineRule="exact"/>
        <w:ind w:left="0" w:right="0" w:firstLine="576"/>
        <w:jc w:val="left"/>
      </w:pPr>
      <w:r>
        <w:rPr>
          <w:u w:val="single"/>
        </w:rPr>
        <w:t xml:space="preserve">(c) The office shall develop case-weighting guidelines to include a process for adjusting caseload limits, relevant policies and procedures, and recommendations for changes in court rules which may be appropriate for the implementation of the system.</w:t>
      </w:r>
    </w:p>
    <w:p>
      <w:pPr>
        <w:spacing w:before="0" w:after="0" w:line="408" w:lineRule="exact"/>
        <w:ind w:left="0" w:right="0" w:firstLine="576"/>
        <w:jc w:val="left"/>
      </w:pPr>
      <w:r>
        <w:rPr>
          <w:u w:val="single"/>
        </w:rPr>
        <w:t xml:space="preserve">(d) By December 1, 2019, the office must submit to the legislature a report detailing the final case-weighting system and guidelines, and implementation progress and recommendations. The report must be made available to the public.</w:t>
      </w:r>
    </w:p>
    <w:p>
      <w:pPr>
        <w:spacing w:before="0" w:after="0" w:line="408" w:lineRule="exact"/>
        <w:ind w:left="0" w:right="0" w:firstLine="576"/>
        <w:jc w:val="left"/>
      </w:pPr>
      <w:r>
        <w:rPr>
          <w:u w:val="single"/>
        </w:rPr>
        <w:t xml:space="preserve">(e) The administrative office of the courts shall notify the superior courts of the policies contained in the final case-weighting system.</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w:t>
      </w:r>
      <w:r>
        <w:t>((</w:t>
      </w:r>
      <w:r>
        <w:rPr>
          <w:strike/>
        </w:rPr>
        <w:t xml:space="preserve">public guardianship</w:t>
      </w:r>
      <w:r>
        <w:t>))</w:t>
      </w:r>
      <w:r>
        <w:rPr/>
        <w:t xml:space="preserve"> </w:t>
      </w:r>
      <w:r>
        <w:rPr>
          <w:u w:val="single"/>
        </w:rPr>
        <w:t xml:space="preserve">contract service</w:t>
      </w:r>
      <w:r>
        <w:rPr/>
        <w:t xml:space="preserve">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rPr>
          <w:u w:val="single"/>
        </w:rPr>
        <w:t xml:space="preserve">(10) Fees may be collected from the estate when the decedant's income prior to death exceeded two hundred percent of the federal poverty level, determined annually by the United States department of health and human services, based on a fee schedule established by the office that must be published annually.</w:t>
      </w:r>
    </w:p>
    <w:p>
      <w:pPr>
        <w:spacing w:before="0" w:after="0" w:line="408" w:lineRule="exact"/>
        <w:ind w:left="0" w:right="0" w:firstLine="576"/>
        <w:jc w:val="left"/>
      </w:pPr>
      <w:r>
        <w:rPr/>
        <w:t xml:space="preserve">(11)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rPr/>
        <w:t xml:space="preserve">(12) The office shall adopt a process for receipt and consideration of and response to complaints against the office and contracted providers of public guardianship</w:t>
      </w:r>
      <w:r>
        <w:rPr>
          <w:u w:val="single"/>
        </w:rPr>
        <w:t xml:space="preserve">, supported decision-making assistance, and estate administration</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rPr/>
        <w:t xml:space="preserve">(13) </w:t>
      </w:r>
      <w:r>
        <w:t>((</w:t>
      </w:r>
      <w:r>
        <w:rPr>
          <w:strike/>
        </w:rPr>
        <w:t xml:space="preserve">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office shall identify training needs for </w:t>
      </w:r>
      <w:r>
        <w:t>((</w:t>
      </w:r>
      <w:r>
        <w:rPr>
          <w:strike/>
        </w:rPr>
        <w:t xml:space="preserve">guardians</w:t>
      </w:r>
      <w:r>
        <w:t>))</w:t>
      </w:r>
      <w:r>
        <w:rPr/>
        <w:t xml:space="preserve"> </w:t>
      </w:r>
      <w:r>
        <w:rPr>
          <w:u w:val="single"/>
        </w:rPr>
        <w:t xml:space="preserve">service providers</w:t>
      </w:r>
      <w:r>
        <w:rPr/>
        <w:t xml:space="preserve"> it contracts with, and shall make recommendations to the supreme court, the certified professional guardian board, and the legislature for improvements in </w:t>
      </w:r>
      <w:r>
        <w:t>((</w:t>
      </w:r>
      <w:r>
        <w:rPr>
          <w:strike/>
        </w:rPr>
        <w:t xml:space="preserve">guardianship</w:t>
      </w:r>
      <w:r>
        <w:t>))</w:t>
      </w:r>
      <w:r>
        <w:rPr/>
        <w:t xml:space="preserve"> training. The office may offer training to individuals providing services pursuant to this chapter </w:t>
      </w:r>
      <w:r>
        <w:t>((</w:t>
      </w:r>
      <w:r>
        <w:rPr>
          <w:strike/>
        </w:rPr>
        <w:t xml:space="preserve">or</w:t>
      </w:r>
      <w:r>
        <w:t>))</w:t>
      </w:r>
      <w:r>
        <w:rPr>
          <w:u w:val="single"/>
        </w:rPr>
        <w:t xml:space="preserve">,</w:t>
      </w:r>
      <w:r>
        <w:rPr/>
        <w:t xml:space="preserve"> to individuals who, in the judgment of the administrator or the administrator's designee, are likely to provide such services in the future</w:t>
      </w:r>
      <w:r>
        <w:rPr>
          <w:u w:val="single"/>
        </w:rPr>
        <w:t xml:space="preserve">, to lay guardians, and to the family and friends of individuals subject to guardianship</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establish a system for monitoring the performance of </w:t>
      </w:r>
      <w:r>
        <w:t>((</w:t>
      </w:r>
      <w:r>
        <w:rPr>
          <w:strike/>
        </w:rPr>
        <w:t xml:space="preserve">public guardians</w:t>
      </w:r>
      <w:r>
        <w:t>))</w:t>
      </w:r>
      <w:r>
        <w:rPr/>
        <w:t xml:space="preserve"> </w:t>
      </w:r>
      <w:r>
        <w:rPr>
          <w:u w:val="single"/>
        </w:rPr>
        <w:t xml:space="preserve">contract service providers</w:t>
      </w:r>
      <w:r>
        <w:rPr/>
        <w:t xml:space="preserve">,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w:t>
      </w:r>
      <w:r>
        <w:rPr>
          <w:u w:val="single"/>
        </w:rPr>
        <w:t xml:space="preserve">, supported decision-making assistance, and estate administration</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120</w:t>
      </w:r>
      <w:r>
        <w:rPr/>
        <w:t xml:space="preserve"> and 2007 c 156 s 28 are each amended to read as follows:</w:t>
      </w:r>
    </w:p>
    <w:p>
      <w:pPr>
        <w:spacing w:before="0" w:after="0" w:line="408" w:lineRule="exact"/>
        <w:ind w:left="0" w:right="0" w:firstLine="576"/>
        <w:jc w:val="left"/>
      </w:pPr>
      <w:r>
        <w:rPr/>
        <w:t xml:space="preserve">Administration of an estate if the decedent died intestate or if the personal representative or representatives named in the will declined or were unable to serve shall be granted to some one or more of the persons hereinafter mentioned, and they shall be respectively entitled in the following order:</w:t>
      </w:r>
    </w:p>
    <w:p>
      <w:pPr>
        <w:spacing w:before="0" w:after="0" w:line="408" w:lineRule="exact"/>
        <w:ind w:left="0" w:right="0" w:firstLine="576"/>
        <w:jc w:val="left"/>
      </w:pPr>
      <w:r>
        <w:rPr/>
        <w:t xml:space="preserve">(1) The surviving spouse or state registered domestic partner, or such person as he or she may request to have appointed.</w:t>
      </w:r>
    </w:p>
    <w:p>
      <w:pPr>
        <w:spacing w:before="0" w:after="0" w:line="408" w:lineRule="exact"/>
        <w:ind w:left="0" w:right="0" w:firstLine="576"/>
        <w:jc w:val="left"/>
      </w:pPr>
      <w:r>
        <w:rPr/>
        <w:t xml:space="preserve">(2) The next of kin in the following order: (a) Child or children; (b) father or mother; (c) brothers or sisters; (d) grandchildren; (e) nephews or nieces.</w:t>
      </w:r>
    </w:p>
    <w:p>
      <w:pPr>
        <w:spacing w:before="0" w:after="0" w:line="408" w:lineRule="exact"/>
        <w:ind w:left="0" w:right="0" w:firstLine="576"/>
        <w:jc w:val="left"/>
      </w:pPr>
      <w:r>
        <w:rPr/>
        <w:t xml:space="preserve">(3) The trustee named by the decedent in an inter vivos trust instrument, testamentary trustee named in the will, guardian of the person or estate of the decedent, or attorney-in-fact appointed by the decedent, if any such a fiduciary controlled or potentially controlled substantially all of the decedent's probate and nonprobate assets.</w:t>
      </w:r>
    </w:p>
    <w:p>
      <w:pPr>
        <w:spacing w:before="0" w:after="0" w:line="408" w:lineRule="exact"/>
        <w:ind w:left="0" w:right="0" w:firstLine="576"/>
        <w:jc w:val="left"/>
      </w:pPr>
      <w:r>
        <w:rPr/>
        <w:t xml:space="preserve">(4) One or more of the beneficiaries or transferees of the decedent's probate or nonprobate assets.</w:t>
      </w:r>
    </w:p>
    <w:p>
      <w:pPr>
        <w:spacing w:before="0" w:after="0" w:line="408" w:lineRule="exact"/>
        <w:ind w:left="0" w:right="0" w:firstLine="576"/>
        <w:jc w:val="left"/>
      </w:pPr>
      <w:r>
        <w:rPr/>
        <w:t xml:space="preserve">(5)(a) The director of revenue, or the director's designee, for those estates having property subject to the provisions of chapter 11.08 RCW; however, the director may waive this right.</w:t>
      </w:r>
    </w:p>
    <w:p>
      <w:pPr>
        <w:spacing w:before="0" w:after="0" w:line="408" w:lineRule="exact"/>
        <w:ind w:left="0" w:right="0" w:firstLine="576"/>
        <w:jc w:val="left"/>
      </w:pPr>
      <w:r>
        <w:rPr/>
        <w:t xml:space="preserve">(b) The secretary of the department of social and health services for those estates owing debts for long-term care services as defined in RCW 74.39A.008; however the secretary may waive this right.</w:t>
      </w:r>
    </w:p>
    <w:p>
      <w:pPr>
        <w:spacing w:before="0" w:after="0" w:line="408" w:lineRule="exact"/>
        <w:ind w:left="0" w:right="0" w:firstLine="576"/>
        <w:jc w:val="left"/>
      </w:pPr>
      <w:r>
        <w:rPr/>
        <w:t xml:space="preserve">(6) One or more of the principal creditors.</w:t>
      </w:r>
    </w:p>
    <w:p>
      <w:pPr>
        <w:spacing w:before="0" w:after="0" w:line="408" w:lineRule="exact"/>
        <w:ind w:left="0" w:right="0" w:firstLine="576"/>
        <w:jc w:val="left"/>
      </w:pPr>
      <w:r>
        <w:rPr/>
        <w:t xml:space="preserve">(7) If the persons so entitled shall fail for more than forty days after the death of the decedent to present a petition for letters of administration, or if it appears to the satisfaction of the court that there is no next of kin, as above specified eligible to appointment, or they waive their right, and there are no principal creditor or creditors, or such creditor or creditors waive their right, then the court may appoint </w:t>
      </w:r>
      <w:r>
        <w:rPr>
          <w:u w:val="single"/>
        </w:rPr>
        <w:t xml:space="preserve">a service provider under contract with the office of public guardianship under chapter 2.72 RCW or</w:t>
      </w:r>
      <w:r>
        <w:rPr/>
        <w:t xml:space="preserve"> any suitable person to administer such estate.</w:t>
      </w:r>
    </w:p>
    <w:p/>
    <w:p>
      <w:pPr>
        <w:jc w:val="center"/>
      </w:pPr>
      <w:r>
        <w:rPr>
          <w:b/>
        </w:rPr>
        <w:t>--- END ---</w:t>
      </w:r>
    </w:p>
    <w:sectPr>
      <w:pgNumType w:start="1"/>
      <w:footerReference xmlns:r="http://schemas.openxmlformats.org/officeDocument/2006/relationships" r:id="Ra5f4ecf0792a4f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190da3df143ed" /><Relationship Type="http://schemas.openxmlformats.org/officeDocument/2006/relationships/footer" Target="/word/footer1.xml" Id="Ra5f4ecf0792a4fe6" /></Relationships>
</file>