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bcb20edcd45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1403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Frame, Orcutt, and Stokesbary)</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administration of municipal business and occupation tax apportionment; amending RCW 35.102.130;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2017 c 323 s 511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(6)(c)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(6)(c);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customer location is in the city</w:t>
      </w:r>
      <w:r>
        <w:t>((</w:t>
      </w:r>
      <w:r>
        <w:rPr>
          <w:strike/>
        </w:rPr>
        <w:t xml:space="preserve">; or</w:t>
      </w:r>
    </w:p>
    <w:p>
      <w:pPr>
        <w:spacing w:before="0" w:after="0" w:line="408" w:lineRule="exact"/>
        <w:ind w:left="0" w:right="0" w:firstLine="576"/>
        <w:jc w:val="left"/>
      </w:pPr>
      <w:r>
        <w:rPr>
          <w:strike/>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strike/>
        </w:rPr>
        <w:t xml:space="preserve">(iii) The service-income-producing activity is performed within the city, and the taxpayer is not taxable in the customer location</w:t>
      </w:r>
      <w:r>
        <w:t>))</w:t>
      </w:r>
      <w:r>
        <w:rPr/>
        <w:t xml:space="preserve">.</w:t>
      </w:r>
    </w:p>
    <w:p>
      <w:pPr>
        <w:spacing w:before="0" w:after="0" w:line="408" w:lineRule="exact"/>
        <w:ind w:left="0" w:right="0" w:firstLine="576"/>
        <w:jc w:val="left"/>
      </w:pPr>
      <w:r>
        <w:rPr/>
        <w:t xml:space="preserve">(c) </w:t>
      </w:r>
      <w:r>
        <w:rPr>
          <w:u w:val="single"/>
        </w:rPr>
        <w:t xml:space="preserve">Gross income of the business from engaging in an apportionable activity must be excluded from the denominator of the service income factor if, in respect to such activity, at least some of the activity is performed in the city, and the gross income is attributable under (b) of this subsection (3) to a city or unincorporated area of a county within the United States or to a foreign country in which the taxpayer is not taxable. For purposes of this subsection (3)(c), "not taxable" means that the taxpayer is not subject to a business activities tax by that city or county within the United States or by that foreign country, except that a taxpayer is taxable in a city or county within the United States or in a foreign country in which it would be deemed to have a substantial nexus with the city or county within the United States or with the foreign country under the standards in RCW 35.102.050 regardless of whether that city or county within the United States or that foreign country imposes such a tax.</w:t>
      </w:r>
    </w:p>
    <w:p>
      <w:pPr>
        <w:spacing w:before="0" w:after="0" w:line="408" w:lineRule="exact"/>
        <w:ind w:left="0" w:right="0" w:firstLine="576"/>
        <w:jc w:val="left"/>
      </w:pPr>
      <w:r>
        <w:rPr>
          <w:u w:val="single"/>
        </w:rPr>
        <w:t xml:space="preserve">(d)</w:t>
      </w:r>
      <w:r>
        <w:rPr/>
        <w:t xml:space="preserve"> If the allocation and apportionment provisions of this subsection </w:t>
      </w:r>
      <w:r>
        <w:rPr>
          <w:u w:val="single"/>
        </w:rPr>
        <w:t xml:space="preserve">(3)</w:t>
      </w:r>
      <w:r>
        <w:rPr/>
        <w:t xml:space="preserve"> do not fairly represent the extent of the taxpayer's business activity in the city </w:t>
      </w:r>
      <w:r>
        <w:t>((</w:t>
      </w:r>
      <w:r>
        <w:rPr>
          <w:strike/>
        </w:rPr>
        <w:t xml:space="preserve">or cities in which the taxpayer does business</w:t>
      </w:r>
      <w:r>
        <w:t>))</w:t>
      </w:r>
      <w:r>
        <w:rPr/>
        <w:t xml:space="preserve">, the taxpayer may petition for or the tax </w:t>
      </w:r>
      <w:r>
        <w:t>((</w:t>
      </w:r>
      <w:r>
        <w:rPr>
          <w:strike/>
        </w:rPr>
        <w:t xml:space="preserve">administrators may jointly require, in respect to all or any part of the taxpayer's business activity, that one of the following methods be used jointly by the cities to allocate or apportion gross income</w:t>
      </w:r>
      <w:r>
        <w:t>))</w:t>
      </w:r>
      <w:r>
        <w:rPr/>
        <w:t xml:space="preserve"> </w:t>
      </w:r>
      <w:r>
        <w:rPr>
          <w:u w:val="single"/>
        </w:rPr>
        <w:t xml:space="preserve">administrator may require, in respect to all or any part of the taxpayer's business activity</w:t>
      </w:r>
      <w:r>
        <w:rPr/>
        <w:t xml:space="preserv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w:t>
      </w:r>
      <w:r>
        <w:t>((</w:t>
      </w:r>
      <w:r>
        <w:rPr>
          <w:strike/>
        </w:rPr>
        <w:t xml:space="preserve">use of a single factor</w:t>
      </w:r>
      <w:r>
        <w:t>))</w:t>
      </w:r>
      <w:r>
        <w:rPr/>
        <w:t xml:space="preserve"> </w:t>
      </w:r>
      <w:r>
        <w:rPr>
          <w:u w:val="single"/>
        </w:rPr>
        <w:t xml:space="preserve">exclusion of any one or more of the factors</w:t>
      </w:r>
      <w:r>
        <w:rPr/>
        <w:t xml:space="preserve">;</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u w:val="single"/>
        </w:rPr>
        <w:t xml:space="preserve">(e) The party petitioning for, or the tax administrator requiring, the use of any method to effectuate an equitable allocation and apportionment of the taxpayer's income pursuant to subsection (d) of this subsection (3) must prove by a preponderance of the evidence:</w:t>
      </w:r>
    </w:p>
    <w:p>
      <w:pPr>
        <w:spacing w:before="0" w:after="0" w:line="408" w:lineRule="exact"/>
        <w:ind w:left="0" w:right="0" w:firstLine="576"/>
        <w:jc w:val="left"/>
      </w:pPr>
      <w:r>
        <w:rPr>
          <w:u w:val="single"/>
        </w:rPr>
        <w:t xml:space="preserve">(i) That the allocation and apportionment provisions of this subsection (3) do not fairly represent the extent of the taxpayer's business activity in the city; and</w:t>
      </w:r>
    </w:p>
    <w:p>
      <w:pPr>
        <w:spacing w:before="0" w:after="0" w:line="408" w:lineRule="exact"/>
        <w:ind w:left="0" w:right="0" w:firstLine="576"/>
        <w:jc w:val="left"/>
      </w:pPr>
      <w:r>
        <w:rPr>
          <w:u w:val="single"/>
        </w:rPr>
        <w:t xml:space="preserve">(ii) That the alternative to such provisions is reasonable.</w:t>
      </w:r>
    </w:p>
    <w:p>
      <w:pPr>
        <w:spacing w:before="0" w:after="0" w:line="408" w:lineRule="exact"/>
        <w:ind w:left="0" w:right="0" w:firstLine="576"/>
        <w:jc w:val="left"/>
      </w:pPr>
      <w:r>
        <w:rPr>
          <w:u w:val="single"/>
        </w:rPr>
        <w:t xml:space="preserve">The same burden of proof shall apply whether the taxpayer is petitioning for, or the tax administrator is requiring, the use of an alternative, reasonable method to effectuate an equitable allocation and apportionment of the taxpayer's income.</w:t>
      </w:r>
    </w:p>
    <w:p>
      <w:pPr>
        <w:spacing w:before="0" w:after="0" w:line="408" w:lineRule="exact"/>
        <w:ind w:left="0" w:right="0" w:firstLine="576"/>
        <w:jc w:val="left"/>
      </w:pPr>
      <w:r>
        <w:rPr>
          <w:u w:val="single"/>
        </w:rPr>
        <w:t xml:space="preserve">(f) If the tax administrator requires any method to effectuate an equitable allocation and apportionment of the taxpayer's income, the tax administrator cannot impose any civil or criminal penalty with reference to the tax due that is attributable to the taxpayer's reasonable reliance solely on the allocation and apportionment provisions of this subsection (3).</w:t>
      </w:r>
    </w:p>
    <w:p>
      <w:pPr>
        <w:spacing w:before="0" w:after="0" w:line="408" w:lineRule="exact"/>
        <w:ind w:left="0" w:right="0" w:firstLine="576"/>
        <w:jc w:val="left"/>
      </w:pPr>
      <w:r>
        <w:rPr>
          <w:u w:val="single"/>
        </w:rPr>
        <w:t xml:space="preserve">(g) A taxpayer that has received written permission from the tax administrator to use a reasonable method to effectuate an equitable allocation and apportionment of the taxpayer's income shall not have that permission revoked with respect to transactions and activities that have already occurred unless there has been a material change in, or a material misrepresentation of, the facts provided by the taxpayer upon which the tax administrator reasonably relied in approving a reasonable alternative method.</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w:t>
      </w:r>
      <w:r>
        <w:rPr>
          <w:u w:val="single"/>
        </w:rPr>
        <w:t xml:space="preserve">"Business activities tax" means a tax measured by the amount of, or economic results of, business activity conducted in a city or county within the United States or within a foreign country.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u w:val="single"/>
        </w:rPr>
        <w:t xml:space="preserve">(c)</w:t>
      </w:r>
      <w:r>
        <w:rPr/>
        <w:t xml:space="preserve">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t>((</w:t>
      </w:r>
      <w:r>
        <w:rPr>
          <w:strike/>
        </w:rPr>
        <w:t xml:space="preserve">(c)</w:t>
      </w:r>
      <w:r>
        <w:t>))</w:t>
      </w:r>
      <w:r>
        <w:rPr/>
        <w:t xml:space="preserve"> </w:t>
      </w:r>
      <w:r>
        <w:rPr>
          <w:u w:val="single"/>
        </w:rPr>
        <w:t xml:space="preserve">(d) "Customer" means a person or entity to whom the taxpayer makes a sale or renders services or from whom the taxpayer otherwise receives gross income of the business.</w:t>
      </w:r>
    </w:p>
    <w:p>
      <w:pPr>
        <w:spacing w:before="0" w:after="0" w:line="408" w:lineRule="exact"/>
        <w:ind w:left="0" w:right="0" w:firstLine="576"/>
        <w:jc w:val="left"/>
      </w:pPr>
      <w:r>
        <w:rPr>
          <w:u w:val="single"/>
        </w:rPr>
        <w:t xml:space="preserve">(e)</w:t>
      </w:r>
      <w:r>
        <w:rPr/>
        <w:t xml:space="preserve">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"Customer location" means the </w:t>
      </w:r>
      <w:r>
        <w:t>((</w:t>
      </w:r>
      <w:r>
        <w:rPr>
          <w:strike/>
        </w:rPr>
        <w:t xml:space="preserve">city or unincorporated area of a county where the majority of the contacts between the taxpayer and the customer take place</w:t>
      </w:r>
      <w:r>
        <w:t>))</w:t>
      </w:r>
      <w:r>
        <w:rPr/>
        <w:t xml:space="preserve"> </w:t>
      </w:r>
      <w:r>
        <w:rPr>
          <w:u w:val="single"/>
        </w:rPr>
        <w:t xml:space="preserve">following:</w:t>
      </w:r>
    </w:p>
    <w:p>
      <w:pPr>
        <w:spacing w:before="0" w:after="0" w:line="408" w:lineRule="exact"/>
        <w:ind w:left="0" w:right="0" w:firstLine="576"/>
        <w:jc w:val="left"/>
      </w:pPr>
      <w:r>
        <w:rPr>
          <w:u w:val="single"/>
        </w:rPr>
        <w:t xml:space="preserve">(i) For a customer not engaged in business, if the service requires the customer to be physically present, where the service is performed.</w:t>
      </w:r>
    </w:p>
    <w:p>
      <w:pPr>
        <w:spacing w:before="0" w:after="0" w:line="408" w:lineRule="exact"/>
        <w:ind w:left="0" w:right="0" w:firstLine="576"/>
        <w:jc w:val="left"/>
      </w:pPr>
      <w:r>
        <w:rPr>
          <w:u w:val="single"/>
        </w:rPr>
        <w:t xml:space="preserve">(ii) For a customer not engaged in business, if the service does not require the customer to be physically present:</w:t>
      </w:r>
    </w:p>
    <w:p>
      <w:pPr>
        <w:spacing w:before="0" w:after="0" w:line="408" w:lineRule="exact"/>
        <w:ind w:left="0" w:right="0" w:firstLine="576"/>
        <w:jc w:val="left"/>
      </w:pPr>
      <w:r>
        <w:rPr>
          <w:u w:val="single"/>
        </w:rPr>
        <w:t xml:space="preserve">(A) The customer's residence; or</w:t>
      </w:r>
    </w:p>
    <w:p>
      <w:pPr>
        <w:spacing w:before="0" w:after="0" w:line="408" w:lineRule="exact"/>
        <w:ind w:left="0" w:right="0" w:firstLine="576"/>
        <w:jc w:val="left"/>
      </w:pPr>
      <w:r>
        <w:rPr>
          <w:u w:val="single"/>
        </w:rPr>
        <w:t xml:space="preserve">(B) If the customer's residence is not known, the customer's billing/mailing address.</w:t>
      </w:r>
    </w:p>
    <w:p>
      <w:pPr>
        <w:spacing w:before="0" w:after="0" w:line="408" w:lineRule="exact"/>
        <w:ind w:left="0" w:right="0" w:firstLine="576"/>
        <w:jc w:val="left"/>
      </w:pPr>
      <w:r>
        <w:rPr>
          <w:u w:val="single"/>
        </w:rPr>
        <w:t xml:space="preserve">(iii) For a customer engaged in business:</w:t>
      </w:r>
    </w:p>
    <w:p>
      <w:pPr>
        <w:spacing w:before="0" w:after="0" w:line="408" w:lineRule="exact"/>
        <w:ind w:left="0" w:right="0" w:firstLine="576"/>
        <w:jc w:val="left"/>
      </w:pPr>
      <w:r>
        <w:rPr>
          <w:u w:val="single"/>
        </w:rPr>
        <w:t xml:space="preserve">(A) Where the services are ordered from;</w:t>
      </w:r>
    </w:p>
    <w:p>
      <w:pPr>
        <w:spacing w:before="0" w:after="0" w:line="408" w:lineRule="exact"/>
        <w:ind w:left="0" w:right="0" w:firstLine="576"/>
        <w:jc w:val="left"/>
      </w:pPr>
      <w:r>
        <w:rPr>
          <w:u w:val="single"/>
        </w:rPr>
        <w:t xml:space="preserve">(B) At the customer's billing/mailing address if the location from which the services are ordered is not known; or</w:t>
      </w:r>
    </w:p>
    <w:p>
      <w:pPr>
        <w:spacing w:before="0" w:after="0" w:line="408" w:lineRule="exact"/>
        <w:ind w:left="0" w:right="0" w:firstLine="576"/>
        <w:jc w:val="left"/>
      </w:pPr>
      <w:r>
        <w:rPr>
          <w:u w:val="single"/>
        </w:rPr>
        <w:t xml:space="preserve">(C) At the customer's commercial domicile if none of the above are known</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"Primarily assigned" means the business location of the taxpayer where the individual performs his or her duties.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"Service-taxable income" or "service income" means gross income of the business subject to tax under either the service or royalty classification.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t>((</w:t>
      </w:r>
      <w:r>
        <w:rPr>
          <w:strike/>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858dce1c576c46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9f84cb2b246f9" /><Relationship Type="http://schemas.openxmlformats.org/officeDocument/2006/relationships/footer" Target="/word/footer1.xml" Id="R858dce1c576c463f" /></Relationships>
</file>