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45601943c4e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1440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1440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Robinson, Macri, Riccelli, Gregerson, Doglio, Tarleton, Kloba, Frame, Jinkins, Morgan, Ortiz-Self,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longer notice of rent increases; and amending RCW 59.18.140.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u w:val="single"/>
        </w:rPr>
        <w:t xml:space="preserve">(2)</w:t>
      </w:r>
      <w:r>
        <w:rPr/>
        <w:t xml:space="preserve"> Except for termination of tenancy </w:t>
      </w:r>
      <w:r>
        <w:rPr>
          <w:u w:val="single"/>
        </w:rPr>
        <w:t xml:space="preserve">and an increase in the amount of rent</w:t>
      </w:r>
      <w:r>
        <w:rPr/>
        <w:t xml:space="preserve">, after thirty days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(3)(a)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u w:val="single"/>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
      <w:pPr>
        <w:jc w:val="center"/>
      </w:pPr>
      <w:r>
        <w:rPr>
          <w:b/>
        </w:rPr>
        <w:t>--- END ---</w:t>
      </w:r>
    </w:p>
    <w:sectPr>
      <w:pgNumType w:start="1"/>
      <w:footerReference xmlns:r="http://schemas.openxmlformats.org/officeDocument/2006/relationships" r:id="R859fa764439641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b52f441ee4351" /><Relationship Type="http://schemas.openxmlformats.org/officeDocument/2006/relationships/footer" Target="/word/footer1.xml" Id="R859fa764439641c3" /></Relationships>
</file>