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ca9ca7edc540f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2019</w:t>
            </w:r>
          </w:p>
          <w:p>
            <w:pPr>
              <w:ind w:left="0" w:right="0" w:firstLine="360"/>
            </w:pPr>
            <w:r>
              <w:t xml:space="preserve">Yeas </w:t>
              <w:t xml:space="preserve">64</w:t>
            </w:r>
            <w:r>
              <w:t xml:space="preserve">  Nays </w:t>
              <w:t xml:space="preserve">33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36</w:t>
            </w:r>
            <w:r>
              <w:t xml:space="preserve">  Nays </w:t>
              <w:t xml:space="preserve">11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1512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Fey, Steele, Valdez, Ortiz-Self, Fitzgibbon, Klippert, Tarleton, Mead, Pollet, Jinkins, Boehnke, Slatter, DeBolt, Dent, Chapman, Frame, Stanford, Tharinger,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amending RCW 80.28.360; adding a new section to chapter 35.92 RCW; adding a new section to chapter 54.16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determination in accordance with subsection (1) of this section, offer incentive programs in the electrification of transportation for its customers, including the promotion of electric vehicle adoption and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does not increase net costs to ratepayers in excess of one-quarter of one percent.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determination in accordance with subsection (1) of this section, offer incentive programs in the electrification of transportation for its customers, including the promotion of electric vehicle adoption and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may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(e) the benefits and costs of the planned actions; and (f) the overall customer experience.</w:t>
      </w:r>
    </w:p>
    <w:p>
      <w:pPr>
        <w:spacing w:before="0" w:after="0" w:line="408" w:lineRule="exact"/>
        <w:ind w:left="0" w:right="0" w:firstLine="576"/>
        <w:jc w:val="left"/>
      </w:pPr>
      <w:r>
        <w:rPr/>
        <w:t xml:space="preserve">(3) The commission must issue an acknowledgment of an electrification of transportation plan within six months of the submittal of the plan. The commission may establish by rule the requirements for preparation and submission of an electrification of transportation plan. An electric utility may submit a plan under this section before or during rule-making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w:t>
      </w:r>
      <w:r>
        <w:rPr>
          <w:u w:val="single"/>
        </w:rPr>
        <w:t xml:space="preserve">through December 31, 2030,</w:t>
      </w:r>
      <w:r>
        <w:rPr/>
        <w:t xml:space="preserve"> on capital expenditures for electric vehicle supply equipment that is deployed for the benefit of ratepayers,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NumType w:start="1"/>
      <w:footerReference xmlns:r="http://schemas.openxmlformats.org/officeDocument/2006/relationships" r:id="Rb22423ac460e40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5f96319154491e" /><Relationship Type="http://schemas.openxmlformats.org/officeDocument/2006/relationships/footer" Target="/word/footer1.xml" Id="Rb22423ac460e4054" /></Relationships>
</file>