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e657a4bb048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2119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2119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Morris and Lekanoff; by request of Department of Natural Resources</w:t>
      </w:r>
    </w:p>
    <w:p/>
    <w:p>
      <w:r>
        <w:rPr>
          <w:t xml:space="preserve">Read first time 02/25/19.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moneys derived from certain state forestlands; and reenacting and amending RCW 79.64.110.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 xml:space="preserve">However, in order to test county flexibility in distributing state forestland revenue, a county may in its discretion pay, distribute, and prorate payments made under this subsection of moneys derived from state forestlands acquired by exchange between the effective date of this section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
      <w:pPr>
        <w:jc w:val="center"/>
      </w:pPr>
      <w:r>
        <w:rPr>
          <w:b/>
        </w:rPr>
        <w:t>--- END ---</w:t>
      </w:r>
    </w:p>
    <w:sectPr>
      <w:pgNumType w:start="1"/>
      <w:footerReference xmlns:r="http://schemas.openxmlformats.org/officeDocument/2006/relationships" r:id="R606ad22b0f7f44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750c79adb1404d" /><Relationship Type="http://schemas.openxmlformats.org/officeDocument/2006/relationships/footer" Target="/word/footer1.xml" Id="R606ad22b0f7f4463" /></Relationships>
</file>